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D8" w:rsidRPr="00A67164" w:rsidRDefault="00F556D8" w:rsidP="0067069C">
      <w:pPr>
        <w:jc w:val="center"/>
        <w:rPr>
          <w:b/>
          <w:sz w:val="20"/>
          <w:szCs w:val="20"/>
        </w:rPr>
      </w:pPr>
      <w:bookmarkStart w:id="0" w:name="_GoBack"/>
      <w:bookmarkEnd w:id="0"/>
      <w:r w:rsidRPr="00A67164">
        <w:rPr>
          <w:b/>
          <w:bCs/>
          <w:color w:val="1F497D"/>
          <w:sz w:val="20"/>
          <w:szCs w:val="20"/>
        </w:rPr>
        <w:t>WHO Technical Guidance Notes on Sendai Framework reporting for Ministries of Health</w:t>
      </w:r>
    </w:p>
    <w:p w:rsidR="00CE2D01" w:rsidRDefault="00CE2D01" w:rsidP="00AA605A">
      <w:pPr>
        <w:spacing w:after="0" w:line="240" w:lineRule="auto"/>
        <w:rPr>
          <w:b/>
        </w:rPr>
      </w:pPr>
      <w:r>
        <w:rPr>
          <w:b/>
        </w:rPr>
        <w:t xml:space="preserve">Target E: </w:t>
      </w:r>
      <w:r w:rsidRPr="006F33FC">
        <w:rPr>
          <w:b/>
        </w:rPr>
        <w:t>Substantially increase the number of countries with national and local disaster risk reduction strategies by 2020</w:t>
      </w:r>
    </w:p>
    <w:p w:rsidR="008B171B" w:rsidRDefault="008B171B" w:rsidP="00AA605A">
      <w:pPr>
        <w:spacing w:after="0" w:line="240" w:lineRule="auto"/>
        <w:rPr>
          <w:color w:val="0000CC"/>
        </w:rPr>
      </w:pPr>
    </w:p>
    <w:p w:rsidR="00505B8F" w:rsidRDefault="00DC662E">
      <w:pPr>
        <w:spacing w:after="0" w:line="240" w:lineRule="auto"/>
        <w:jc w:val="both"/>
      </w:pPr>
      <w:r w:rsidRPr="00CE2D01">
        <w:t xml:space="preserve">Target </w:t>
      </w:r>
      <w:r w:rsidR="00CE2D01" w:rsidRPr="00CE2D01">
        <w:t>E</w:t>
      </w:r>
      <w:r w:rsidR="00777473">
        <w:t xml:space="preserve"> outlined the </w:t>
      </w:r>
      <w:r w:rsidR="00777473" w:rsidRPr="00777473">
        <w:t>adopt</w:t>
      </w:r>
      <w:r w:rsidR="00777473">
        <w:t>ion</w:t>
      </w:r>
      <w:r w:rsidR="00777473" w:rsidRPr="00777473">
        <w:t xml:space="preserve"> and implement</w:t>
      </w:r>
      <w:r w:rsidR="00777473">
        <w:t>ation of disaster risk reduction strategies at national and local level, with focus to prevent new risk, reducing existing risk and strengthening resilience. This target is in line with the</w:t>
      </w:r>
      <w:r w:rsidR="00CE2D01">
        <w:t xml:space="preserve"> </w:t>
      </w:r>
      <w:r w:rsidR="00AC271A">
        <w:t xml:space="preserve">targets </w:t>
      </w:r>
      <w:r w:rsidR="00ED3312">
        <w:t>1</w:t>
      </w:r>
      <w:r w:rsidR="00AC271A">
        <w:t>.5</w:t>
      </w:r>
      <w:r w:rsidR="00ED3312">
        <w:t>, 11</w:t>
      </w:r>
      <w:r w:rsidR="00AC271A">
        <w:t>.</w:t>
      </w:r>
      <w:r w:rsidR="00B90366">
        <w:t>b</w:t>
      </w:r>
      <w:r w:rsidR="00ED3312">
        <w:t xml:space="preserve"> and 13</w:t>
      </w:r>
      <w:r w:rsidR="00AC271A">
        <w:t>.1</w:t>
      </w:r>
      <w:r w:rsidR="00ED3312">
        <w:t xml:space="preserve"> </w:t>
      </w:r>
      <w:r w:rsidR="00CE2D01">
        <w:t>in</w:t>
      </w:r>
      <w:r w:rsidR="00777473">
        <w:t xml:space="preserve"> </w:t>
      </w:r>
      <w:r w:rsidR="00CE2D01">
        <w:t>Sustainable Development Goals</w:t>
      </w:r>
      <w:r w:rsidR="0001457D">
        <w:t xml:space="preserve">, and </w:t>
      </w:r>
      <w:r w:rsidR="00170F6F">
        <w:t xml:space="preserve">also </w:t>
      </w:r>
      <w:r w:rsidR="0089749B">
        <w:t xml:space="preserve">supports </w:t>
      </w:r>
      <w:r w:rsidR="00B90366">
        <w:t xml:space="preserve">Health Goal </w:t>
      </w:r>
      <w:r w:rsidR="0089749B">
        <w:t>target 3</w:t>
      </w:r>
      <w:r w:rsidR="00B90366">
        <w:t xml:space="preserve">d: </w:t>
      </w:r>
      <w:r w:rsidR="0001457D" w:rsidRPr="0067069C">
        <w:rPr>
          <w:i/>
          <w:iCs/>
        </w:rPr>
        <w:t>strengthen</w:t>
      </w:r>
      <w:r w:rsidR="0089749B" w:rsidRPr="0067069C">
        <w:rPr>
          <w:i/>
          <w:iCs/>
        </w:rPr>
        <w:t>ing</w:t>
      </w:r>
      <w:r w:rsidR="0001457D" w:rsidRPr="0067069C">
        <w:rPr>
          <w:i/>
          <w:iCs/>
        </w:rPr>
        <w:t xml:space="preserve"> the capacity of all countries, in particular developing countries, for early warning, risk reduction and management of national and global health risks</w:t>
      </w:r>
      <w:r w:rsidR="0001457D">
        <w:t>.</w:t>
      </w:r>
    </w:p>
    <w:p w:rsidR="0001457D" w:rsidRPr="00CE2D01" w:rsidRDefault="0001457D">
      <w:pPr>
        <w:spacing w:after="0" w:line="240" w:lineRule="auto"/>
        <w:jc w:val="both"/>
      </w:pPr>
    </w:p>
    <w:p w:rsidR="008B171B" w:rsidRPr="00CE2D01" w:rsidRDefault="008B171B" w:rsidP="00AA605A">
      <w:pPr>
        <w:pStyle w:val="ListParagraph"/>
        <w:numPr>
          <w:ilvl w:val="0"/>
          <w:numId w:val="1"/>
        </w:numPr>
        <w:spacing w:after="0" w:line="240" w:lineRule="auto"/>
        <w:ind w:left="426"/>
        <w:rPr>
          <w:b/>
        </w:rPr>
      </w:pPr>
      <w:r w:rsidRPr="00CE2D01">
        <w:rPr>
          <w:b/>
        </w:rPr>
        <w:t>Indicator</w:t>
      </w:r>
      <w:r w:rsidR="00B90366">
        <w:rPr>
          <w:b/>
        </w:rPr>
        <w:t>s</w:t>
      </w:r>
    </w:p>
    <w:p w:rsidR="00DC662E" w:rsidRPr="00CE2D01" w:rsidRDefault="00DC662E">
      <w:pPr>
        <w:spacing w:after="0" w:line="240" w:lineRule="auto"/>
        <w:jc w:val="both"/>
      </w:pPr>
      <w:r w:rsidRPr="00CE2D01">
        <w:t xml:space="preserve">The table below lists the indicators recommended by OIEWG for the measurement of global Target </w:t>
      </w:r>
      <w:r w:rsidR="00CE2D01" w:rsidRPr="00CE2D01">
        <w:t>E</w:t>
      </w:r>
      <w:r w:rsidRPr="00CE2D01">
        <w:t xml:space="preserve"> of the Sendai Framework, </w:t>
      </w:r>
      <w:r w:rsidR="00CE2D01" w:rsidRPr="00CE2D01">
        <w:t>which were endorsed by the UN General</w:t>
      </w:r>
      <w:r w:rsidR="00CE2D01">
        <w:t xml:space="preserve"> </w:t>
      </w:r>
      <w:r w:rsidR="00CE2D01" w:rsidRPr="00CE2D01">
        <w:t>Assembly in its Resolution A/RES/71/276, Report of the open-ended intergovernmental</w:t>
      </w:r>
      <w:r w:rsidR="00CE2D01">
        <w:t xml:space="preserve"> </w:t>
      </w:r>
      <w:r w:rsidR="00CE2D01" w:rsidRPr="00CE2D01">
        <w:t>expert working group on indicators and terminology relating to disaster risk.</w:t>
      </w:r>
    </w:p>
    <w:p w:rsidR="00DC662E" w:rsidRPr="00DC662E" w:rsidRDefault="00DC662E" w:rsidP="00DC662E">
      <w:pPr>
        <w:spacing w:after="0" w:line="240" w:lineRule="auto"/>
      </w:pPr>
    </w:p>
    <w:tbl>
      <w:tblPr>
        <w:tblStyle w:val="MediumGrid3-Accent1"/>
        <w:tblW w:w="5000" w:type="pct"/>
        <w:tblLook w:val="0620" w:firstRow="1" w:lastRow="0" w:firstColumn="0" w:lastColumn="0" w:noHBand="1" w:noVBand="1"/>
      </w:tblPr>
      <w:tblGrid>
        <w:gridCol w:w="540"/>
        <w:gridCol w:w="5590"/>
        <w:gridCol w:w="1556"/>
        <w:gridCol w:w="1556"/>
      </w:tblGrid>
      <w:tr w:rsidR="0018613C" w:rsidRPr="006F33FC" w:rsidTr="0018613C">
        <w:trPr>
          <w:cnfStyle w:val="100000000000" w:firstRow="1" w:lastRow="0" w:firstColumn="0" w:lastColumn="0" w:oddVBand="0" w:evenVBand="0" w:oddHBand="0" w:evenHBand="0" w:firstRowFirstColumn="0" w:firstRowLastColumn="0" w:lastRowFirstColumn="0" w:lastRowLastColumn="0"/>
          <w:trHeight w:val="645"/>
        </w:trPr>
        <w:tc>
          <w:tcPr>
            <w:tcW w:w="292" w:type="pct"/>
            <w:vAlign w:val="center"/>
          </w:tcPr>
          <w:p w:rsidR="0018613C" w:rsidRPr="006F33FC" w:rsidRDefault="0018613C" w:rsidP="00AD2972">
            <w:pPr>
              <w:autoSpaceDE w:val="0"/>
              <w:autoSpaceDN w:val="0"/>
              <w:adjustRightInd w:val="0"/>
              <w:jc w:val="center"/>
              <w:rPr>
                <w:rFonts w:cs="Arial"/>
                <w:bCs w:val="0"/>
                <w:color w:val="FFFFFF"/>
                <w:sz w:val="20"/>
              </w:rPr>
            </w:pPr>
            <w:r w:rsidRPr="006F33FC">
              <w:rPr>
                <w:rFonts w:cs="Arial"/>
                <w:bCs w:val="0"/>
                <w:color w:val="FFFFFF"/>
                <w:sz w:val="20"/>
              </w:rPr>
              <w:t>No.</w:t>
            </w:r>
          </w:p>
        </w:tc>
        <w:tc>
          <w:tcPr>
            <w:tcW w:w="3024" w:type="pct"/>
            <w:vAlign w:val="center"/>
          </w:tcPr>
          <w:p w:rsidR="0018613C" w:rsidRPr="006F33FC" w:rsidRDefault="0018613C" w:rsidP="00AD2972">
            <w:pPr>
              <w:autoSpaceDE w:val="0"/>
              <w:autoSpaceDN w:val="0"/>
              <w:adjustRightInd w:val="0"/>
              <w:jc w:val="center"/>
              <w:rPr>
                <w:rFonts w:cs="Arial"/>
                <w:bCs w:val="0"/>
                <w:color w:val="FFFFFF"/>
                <w:sz w:val="20"/>
              </w:rPr>
            </w:pPr>
            <w:r w:rsidRPr="006F33FC">
              <w:rPr>
                <w:rFonts w:cs="Arial"/>
                <w:bCs w:val="0"/>
                <w:color w:val="FFFFFF"/>
                <w:sz w:val="20"/>
              </w:rPr>
              <w:t>Indicators for measurement at the global level</w:t>
            </w:r>
          </w:p>
        </w:tc>
        <w:tc>
          <w:tcPr>
            <w:tcW w:w="842" w:type="pct"/>
          </w:tcPr>
          <w:p w:rsidR="0018613C" w:rsidRPr="006F33FC" w:rsidRDefault="0018613C" w:rsidP="00AD2972">
            <w:pPr>
              <w:autoSpaceDE w:val="0"/>
              <w:autoSpaceDN w:val="0"/>
              <w:adjustRightInd w:val="0"/>
              <w:jc w:val="center"/>
              <w:rPr>
                <w:rFonts w:cs="Arial"/>
                <w:color w:val="FFFFFF"/>
                <w:sz w:val="20"/>
              </w:rPr>
            </w:pPr>
            <w:r w:rsidRPr="0018613C">
              <w:rPr>
                <w:rFonts w:cs="Arial"/>
                <w:color w:val="FFFFFF"/>
                <w:sz w:val="20"/>
              </w:rPr>
              <w:t xml:space="preserve">Health Data required from </w:t>
            </w:r>
            <w:proofErr w:type="spellStart"/>
            <w:r w:rsidRPr="0018613C">
              <w:rPr>
                <w:rFonts w:cs="Arial"/>
                <w:color w:val="FFFFFF"/>
                <w:sz w:val="20"/>
              </w:rPr>
              <w:t>MoH</w:t>
            </w:r>
            <w:proofErr w:type="spellEnd"/>
          </w:p>
        </w:tc>
        <w:tc>
          <w:tcPr>
            <w:tcW w:w="842" w:type="pct"/>
            <w:vAlign w:val="center"/>
          </w:tcPr>
          <w:p w:rsidR="0018613C" w:rsidRPr="006F33FC" w:rsidRDefault="0018613C" w:rsidP="00AD2972">
            <w:pPr>
              <w:autoSpaceDE w:val="0"/>
              <w:autoSpaceDN w:val="0"/>
              <w:adjustRightInd w:val="0"/>
              <w:jc w:val="center"/>
              <w:rPr>
                <w:rFonts w:cs="Arial"/>
                <w:bCs w:val="0"/>
                <w:color w:val="FFFFFF"/>
                <w:sz w:val="20"/>
              </w:rPr>
            </w:pPr>
            <w:r w:rsidRPr="006F33FC">
              <w:rPr>
                <w:rFonts w:cs="Arial"/>
                <w:bCs w:val="0"/>
                <w:color w:val="FFFFFF"/>
                <w:sz w:val="20"/>
              </w:rPr>
              <w:t xml:space="preserve">Link to </w:t>
            </w:r>
            <w:r w:rsidR="00AD2972">
              <w:rPr>
                <w:rFonts w:cs="Arial"/>
                <w:bCs w:val="0"/>
                <w:color w:val="FFFFFF"/>
                <w:sz w:val="20"/>
              </w:rPr>
              <w:t>SDG</w:t>
            </w:r>
            <w:r w:rsidRPr="006F33FC">
              <w:rPr>
                <w:rFonts w:cs="Arial"/>
                <w:bCs w:val="0"/>
                <w:color w:val="FFFFFF"/>
                <w:sz w:val="20"/>
              </w:rPr>
              <w:t xml:space="preserve"> indicators</w:t>
            </w:r>
          </w:p>
        </w:tc>
      </w:tr>
      <w:tr w:rsidR="0018613C" w:rsidRPr="006F33FC" w:rsidTr="0018613C">
        <w:trPr>
          <w:trHeight w:val="905"/>
        </w:trPr>
        <w:tc>
          <w:tcPr>
            <w:tcW w:w="292" w:type="pct"/>
          </w:tcPr>
          <w:p w:rsidR="0018613C" w:rsidRPr="006F33FC" w:rsidRDefault="0018613C" w:rsidP="00AD2972">
            <w:pPr>
              <w:autoSpaceDE w:val="0"/>
              <w:autoSpaceDN w:val="0"/>
              <w:adjustRightInd w:val="0"/>
              <w:rPr>
                <w:rFonts w:cs="Arial"/>
                <w:color w:val="000000"/>
                <w:sz w:val="20"/>
              </w:rPr>
            </w:pPr>
            <w:r w:rsidRPr="006F33FC">
              <w:rPr>
                <w:rFonts w:cs="Arial"/>
                <w:bCs/>
                <w:color w:val="000000"/>
                <w:sz w:val="20"/>
              </w:rPr>
              <w:t xml:space="preserve">E-1 </w:t>
            </w:r>
          </w:p>
        </w:tc>
        <w:tc>
          <w:tcPr>
            <w:tcW w:w="3024" w:type="pct"/>
          </w:tcPr>
          <w:p w:rsidR="0018613C" w:rsidRPr="006F33FC" w:rsidRDefault="0018613C" w:rsidP="00CB3FBF">
            <w:pPr>
              <w:autoSpaceDE w:val="0"/>
              <w:autoSpaceDN w:val="0"/>
              <w:adjustRightInd w:val="0"/>
              <w:jc w:val="both"/>
              <w:rPr>
                <w:rFonts w:cs="Arial"/>
                <w:color w:val="000000"/>
                <w:sz w:val="20"/>
              </w:rPr>
            </w:pPr>
            <w:r w:rsidRPr="006F33FC">
              <w:rPr>
                <w:rFonts w:cs="Arial"/>
                <w:color w:val="000000"/>
                <w:sz w:val="20"/>
              </w:rPr>
              <w:t>Number of countries that adopt and implement national disaster risk reduction strategies in line with the Sendai Framework for Disaster Risk Reduction 2015-2030.</w:t>
            </w:r>
          </w:p>
        </w:tc>
        <w:tc>
          <w:tcPr>
            <w:tcW w:w="842" w:type="pct"/>
          </w:tcPr>
          <w:p w:rsidR="0018613C" w:rsidRPr="006F33FC" w:rsidRDefault="0018613C" w:rsidP="0018613C">
            <w:pPr>
              <w:autoSpaceDE w:val="0"/>
              <w:autoSpaceDN w:val="0"/>
              <w:adjustRightInd w:val="0"/>
              <w:jc w:val="center"/>
              <w:rPr>
                <w:rFonts w:cs="Arial"/>
                <w:color w:val="000000"/>
                <w:sz w:val="20"/>
              </w:rPr>
            </w:pPr>
            <w:r>
              <w:rPr>
                <w:rFonts w:cs="Arial"/>
                <w:color w:val="000000"/>
                <w:sz w:val="20"/>
              </w:rPr>
              <w:t>Yes</w:t>
            </w:r>
          </w:p>
        </w:tc>
        <w:tc>
          <w:tcPr>
            <w:tcW w:w="842" w:type="pct"/>
          </w:tcPr>
          <w:p w:rsidR="0018613C" w:rsidRPr="006F33FC" w:rsidRDefault="0018613C" w:rsidP="00AD2972">
            <w:pPr>
              <w:autoSpaceDE w:val="0"/>
              <w:autoSpaceDN w:val="0"/>
              <w:adjustRightInd w:val="0"/>
              <w:rPr>
                <w:rFonts w:cs="Arial"/>
                <w:color w:val="000000"/>
                <w:sz w:val="20"/>
              </w:rPr>
            </w:pPr>
            <w:r w:rsidRPr="006F33FC">
              <w:rPr>
                <w:rFonts w:cs="Arial"/>
                <w:color w:val="000000"/>
                <w:sz w:val="20"/>
              </w:rPr>
              <w:t>1.5.3 (repeat of 11.</w:t>
            </w:r>
            <w:r w:rsidR="00AC271A">
              <w:rPr>
                <w:rFonts w:cs="Arial"/>
                <w:color w:val="000000"/>
                <w:sz w:val="20"/>
              </w:rPr>
              <w:t>B</w:t>
            </w:r>
            <w:r w:rsidRPr="006F33FC">
              <w:rPr>
                <w:rFonts w:cs="Arial"/>
                <w:color w:val="000000"/>
                <w:sz w:val="20"/>
              </w:rPr>
              <w:t>.1 and 13.1.2)</w:t>
            </w:r>
            <w:r w:rsidR="006D6FCE">
              <w:rPr>
                <w:rFonts w:cs="Arial"/>
                <w:color w:val="000000"/>
                <w:sz w:val="20"/>
              </w:rPr>
              <w:t>, 3.D.1</w:t>
            </w:r>
          </w:p>
        </w:tc>
      </w:tr>
      <w:tr w:rsidR="0018613C" w:rsidRPr="006F33FC" w:rsidTr="0018613C">
        <w:trPr>
          <w:trHeight w:val="615"/>
        </w:trPr>
        <w:tc>
          <w:tcPr>
            <w:tcW w:w="292" w:type="pct"/>
          </w:tcPr>
          <w:p w:rsidR="0018613C" w:rsidRPr="006F33FC" w:rsidRDefault="0018613C" w:rsidP="00AD2972">
            <w:pPr>
              <w:autoSpaceDE w:val="0"/>
              <w:autoSpaceDN w:val="0"/>
              <w:adjustRightInd w:val="0"/>
              <w:rPr>
                <w:rFonts w:cs="Arial"/>
                <w:bCs/>
                <w:color w:val="000000"/>
                <w:sz w:val="20"/>
              </w:rPr>
            </w:pPr>
            <w:r w:rsidRPr="006F33FC">
              <w:rPr>
                <w:rFonts w:cs="Arial"/>
                <w:bCs/>
                <w:color w:val="000000"/>
                <w:sz w:val="20"/>
              </w:rPr>
              <w:t>E-2</w:t>
            </w:r>
          </w:p>
        </w:tc>
        <w:tc>
          <w:tcPr>
            <w:tcW w:w="3024" w:type="pct"/>
          </w:tcPr>
          <w:p w:rsidR="0018613C" w:rsidRPr="006F33FC" w:rsidRDefault="0018613C" w:rsidP="00CB3FBF">
            <w:pPr>
              <w:autoSpaceDE w:val="0"/>
              <w:autoSpaceDN w:val="0"/>
              <w:adjustRightInd w:val="0"/>
              <w:jc w:val="both"/>
              <w:rPr>
                <w:rFonts w:cs="Arial"/>
                <w:bCs/>
                <w:color w:val="000000"/>
                <w:sz w:val="20"/>
              </w:rPr>
            </w:pPr>
            <w:r w:rsidRPr="006F33FC">
              <w:rPr>
                <w:rFonts w:cs="Arial"/>
                <w:bCs/>
                <w:color w:val="000000"/>
                <w:sz w:val="20"/>
              </w:rPr>
              <w:t>Percentage of local governments that adopt and implement local disaster risk reduction strategies in line with national strategies.</w:t>
            </w:r>
          </w:p>
        </w:tc>
        <w:tc>
          <w:tcPr>
            <w:tcW w:w="842" w:type="pct"/>
          </w:tcPr>
          <w:p w:rsidR="0018613C" w:rsidRPr="006F33FC" w:rsidRDefault="0018613C" w:rsidP="0018613C">
            <w:pPr>
              <w:autoSpaceDE w:val="0"/>
              <w:autoSpaceDN w:val="0"/>
              <w:adjustRightInd w:val="0"/>
              <w:jc w:val="center"/>
              <w:rPr>
                <w:rFonts w:cs="Arial"/>
                <w:bCs/>
                <w:color w:val="000000"/>
                <w:sz w:val="20"/>
              </w:rPr>
            </w:pPr>
            <w:r>
              <w:rPr>
                <w:rFonts w:cs="Arial"/>
                <w:bCs/>
                <w:color w:val="000000"/>
                <w:sz w:val="20"/>
              </w:rPr>
              <w:t>Yes</w:t>
            </w:r>
          </w:p>
        </w:tc>
        <w:tc>
          <w:tcPr>
            <w:tcW w:w="842" w:type="pct"/>
          </w:tcPr>
          <w:p w:rsidR="0018613C" w:rsidRPr="006F33FC" w:rsidRDefault="0018613C" w:rsidP="00AC271A">
            <w:pPr>
              <w:autoSpaceDE w:val="0"/>
              <w:autoSpaceDN w:val="0"/>
              <w:adjustRightInd w:val="0"/>
              <w:rPr>
                <w:rFonts w:cs="Arial"/>
                <w:bCs/>
                <w:color w:val="000000"/>
                <w:sz w:val="20"/>
              </w:rPr>
            </w:pPr>
            <w:r w:rsidRPr="006F33FC">
              <w:rPr>
                <w:rFonts w:cs="Arial"/>
                <w:bCs/>
                <w:color w:val="000000"/>
                <w:sz w:val="20"/>
              </w:rPr>
              <w:t>1.5.4 (repeat of 11.b.2 and 13.1.3</w:t>
            </w:r>
            <w:r w:rsidR="006D6FCE" w:rsidRPr="006F33FC">
              <w:rPr>
                <w:rFonts w:cs="Arial"/>
                <w:color w:val="000000"/>
                <w:sz w:val="20"/>
              </w:rPr>
              <w:t>)</w:t>
            </w:r>
            <w:r w:rsidR="006D6FCE">
              <w:rPr>
                <w:rFonts w:cs="Arial"/>
                <w:color w:val="000000"/>
                <w:sz w:val="20"/>
              </w:rPr>
              <w:t>, 3.D.1</w:t>
            </w:r>
          </w:p>
        </w:tc>
      </w:tr>
    </w:tbl>
    <w:p w:rsidR="00CE2D01" w:rsidRPr="00E93108" w:rsidRDefault="00CE2D01">
      <w:pPr>
        <w:spacing w:after="0" w:line="240" w:lineRule="auto"/>
        <w:ind w:left="142"/>
        <w:rPr>
          <w:sz w:val="20"/>
        </w:rPr>
      </w:pPr>
      <w:r w:rsidRPr="00E93108">
        <w:rPr>
          <w:sz w:val="20"/>
        </w:rPr>
        <w:t>Notes: Information should be provided on the appropriate levels of government below the national level with responsibility for disaster risk reduction.</w:t>
      </w:r>
    </w:p>
    <w:p w:rsidR="00CE2D01" w:rsidRDefault="00CE2D01" w:rsidP="00AA605A">
      <w:pPr>
        <w:pStyle w:val="ListParagraph"/>
        <w:spacing w:after="0" w:line="240" w:lineRule="auto"/>
        <w:ind w:left="426"/>
        <w:rPr>
          <w:b/>
        </w:rPr>
      </w:pPr>
    </w:p>
    <w:p w:rsidR="00375E2D" w:rsidRDefault="001335E7" w:rsidP="00AA605A">
      <w:pPr>
        <w:pStyle w:val="ListParagraph"/>
        <w:numPr>
          <w:ilvl w:val="0"/>
          <w:numId w:val="1"/>
        </w:numPr>
        <w:spacing w:after="0" w:line="240" w:lineRule="auto"/>
        <w:ind w:left="426"/>
        <w:rPr>
          <w:b/>
        </w:rPr>
      </w:pPr>
      <w:r>
        <w:rPr>
          <w:b/>
        </w:rPr>
        <w:t>Policy context</w:t>
      </w:r>
    </w:p>
    <w:tbl>
      <w:tblPr>
        <w:tblStyle w:val="MediumGrid3-Accent1"/>
        <w:tblW w:w="5008" w:type="pct"/>
        <w:tblLook w:val="0680" w:firstRow="0" w:lastRow="0" w:firstColumn="1" w:lastColumn="0" w:noHBand="1" w:noVBand="1"/>
      </w:tblPr>
      <w:tblGrid>
        <w:gridCol w:w="2453"/>
        <w:gridCol w:w="6804"/>
      </w:tblGrid>
      <w:tr w:rsidR="008B171B"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Default="008B171B" w:rsidP="00AD2972">
            <w:pPr>
              <w:rPr>
                <w:sz w:val="20"/>
              </w:rPr>
            </w:pPr>
            <w:r>
              <w:rPr>
                <w:sz w:val="20"/>
              </w:rPr>
              <w:t xml:space="preserve">Why </w:t>
            </w:r>
            <w:r w:rsidR="00AC7A03">
              <w:rPr>
                <w:sz w:val="20"/>
              </w:rPr>
              <w:t xml:space="preserve">is this </w:t>
            </w:r>
            <w:r>
              <w:rPr>
                <w:sz w:val="20"/>
              </w:rPr>
              <w:t>important</w:t>
            </w:r>
            <w:r w:rsidR="00AC7A03">
              <w:rPr>
                <w:sz w:val="20"/>
              </w:rPr>
              <w:t>?</w:t>
            </w:r>
          </w:p>
        </w:tc>
        <w:tc>
          <w:tcPr>
            <w:tcW w:w="3675" w:type="pct"/>
            <w:vAlign w:val="center"/>
          </w:tcPr>
          <w:p w:rsidR="00F61C18" w:rsidRDefault="00763C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b/>
                <w:bCs/>
                <w:i/>
                <w:sz w:val="20"/>
              </w:rPr>
              <w:t>Multisectoral policy context</w:t>
            </w:r>
            <w:r w:rsidR="00995D8C" w:rsidRPr="00454DA4">
              <w:rPr>
                <w:rFonts w:cs="Arial"/>
                <w:bCs/>
                <w:sz w:val="20"/>
              </w:rPr>
              <w:t xml:space="preserve"> </w:t>
            </w:r>
            <w:r w:rsidR="00F61C18">
              <w:rPr>
                <w:rFonts w:cs="Arial"/>
                <w:bCs/>
                <w:sz w:val="20"/>
              </w:rPr>
              <w:t xml:space="preserve">1. National and local multisectoral </w:t>
            </w:r>
            <w:r w:rsidR="00454DA4">
              <w:rPr>
                <w:rFonts w:cs="Arial"/>
                <w:bCs/>
                <w:sz w:val="20"/>
              </w:rPr>
              <w:t>d</w:t>
            </w:r>
            <w:r w:rsidR="00AC70C3">
              <w:rPr>
                <w:rFonts w:cs="Arial"/>
                <w:bCs/>
                <w:sz w:val="20"/>
              </w:rPr>
              <w:t xml:space="preserve">isaster risk reduction strategies </w:t>
            </w:r>
            <w:r w:rsidR="00F61C18">
              <w:rPr>
                <w:rFonts w:cs="Arial"/>
                <w:bCs/>
                <w:sz w:val="20"/>
              </w:rPr>
              <w:t>should include health sector</w:t>
            </w:r>
            <w:r>
              <w:rPr>
                <w:rFonts w:cs="Arial"/>
                <w:bCs/>
                <w:sz w:val="20"/>
              </w:rPr>
              <w:t xml:space="preserve"> strategies</w:t>
            </w:r>
            <w:r w:rsidR="00F61C18">
              <w:rPr>
                <w:rFonts w:cs="Arial"/>
                <w:bCs/>
                <w:sz w:val="20"/>
              </w:rPr>
              <w:t xml:space="preserve">. </w:t>
            </w:r>
            <w:r>
              <w:rPr>
                <w:rFonts w:cs="Arial"/>
                <w:bCs/>
                <w:sz w:val="20"/>
              </w:rPr>
              <w:t>St</w:t>
            </w:r>
            <w:r w:rsidR="00F61C18">
              <w:rPr>
                <w:rFonts w:cs="Arial"/>
                <w:bCs/>
                <w:sz w:val="20"/>
              </w:rPr>
              <w:t>rategies should recognise that all sectors contribute to the reduction of mortality, injured and ill, and other health consequences. Strategies should include biological hazards</w:t>
            </w:r>
            <w:r>
              <w:rPr>
                <w:rFonts w:cs="Arial"/>
                <w:bCs/>
                <w:sz w:val="20"/>
              </w:rPr>
              <w:t xml:space="preserve"> along with natural and technological hazards, and environmental degradation.</w:t>
            </w:r>
          </w:p>
          <w:p w:rsidR="00F61C18" w:rsidRDefault="00763C29" w:rsidP="00763C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b/>
                <w:bCs/>
                <w:i/>
                <w:sz w:val="20"/>
              </w:rPr>
              <w:t>Health sector policy context</w:t>
            </w:r>
            <w:r w:rsidRPr="00454DA4">
              <w:rPr>
                <w:rFonts w:cs="Arial"/>
                <w:bCs/>
                <w:sz w:val="20"/>
              </w:rPr>
              <w:t xml:space="preserve"> </w:t>
            </w:r>
            <w:r w:rsidR="00F61C18">
              <w:rPr>
                <w:rFonts w:cs="Arial"/>
                <w:bCs/>
                <w:sz w:val="20"/>
              </w:rPr>
              <w:t xml:space="preserve">2. Health sector strategies should </w:t>
            </w:r>
            <w:r>
              <w:rPr>
                <w:rFonts w:cs="Arial"/>
                <w:bCs/>
                <w:sz w:val="20"/>
              </w:rPr>
              <w:t xml:space="preserve">be able to </w:t>
            </w:r>
            <w:r w:rsidR="00F61C18">
              <w:rPr>
                <w:rFonts w:cs="Arial"/>
                <w:bCs/>
                <w:sz w:val="20"/>
              </w:rPr>
              <w:t xml:space="preserve">demonstrate </w:t>
            </w:r>
            <w:r>
              <w:rPr>
                <w:rFonts w:cs="Arial"/>
                <w:bCs/>
                <w:sz w:val="20"/>
              </w:rPr>
              <w:t xml:space="preserve">that are contributing to the </w:t>
            </w:r>
            <w:r w:rsidR="00F61C18">
              <w:rPr>
                <w:rFonts w:cs="Arial"/>
                <w:bCs/>
                <w:sz w:val="20"/>
              </w:rPr>
              <w:t xml:space="preserve">implementation of the Sendai Framework for Disaster Risk Reduction. </w:t>
            </w:r>
            <w:r>
              <w:rPr>
                <w:rFonts w:cs="Arial"/>
                <w:bCs/>
                <w:sz w:val="20"/>
              </w:rPr>
              <w:t>Integrating disaster risk management into primary, secondary and tertiary health care will reduce risks and consequences of emergencies and disasters and</w:t>
            </w:r>
            <w:r w:rsidRPr="0018613C">
              <w:rPr>
                <w:rFonts w:cs="Arial"/>
                <w:bCs/>
                <w:sz w:val="20"/>
              </w:rPr>
              <w:t xml:space="preserve"> enhance the resilience of health systems</w:t>
            </w:r>
            <w:r>
              <w:rPr>
                <w:rFonts w:cs="Arial"/>
                <w:bCs/>
                <w:sz w:val="20"/>
              </w:rPr>
              <w:t>.</w:t>
            </w:r>
          </w:p>
          <w:p w:rsidR="00B90366" w:rsidRDefault="00B90366" w:rsidP="00763C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rPr>
            </w:pPr>
          </w:p>
          <w:p w:rsidR="00995D8C" w:rsidRPr="009F4A9C" w:rsidRDefault="00AC70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bCs/>
                <w:sz w:val="20"/>
              </w:rPr>
              <w:t>M</w:t>
            </w:r>
            <w:r w:rsidRPr="00AC70C3">
              <w:rPr>
                <w:rFonts w:cs="Arial"/>
                <w:bCs/>
                <w:sz w:val="20"/>
              </w:rPr>
              <w:t>onitor</w:t>
            </w:r>
            <w:r>
              <w:rPr>
                <w:rFonts w:cs="Arial"/>
                <w:bCs/>
                <w:sz w:val="20"/>
              </w:rPr>
              <w:t xml:space="preserve"> and reporting of </w:t>
            </w:r>
            <w:r w:rsidRPr="00AC70C3">
              <w:rPr>
                <w:rFonts w:cs="Arial"/>
                <w:bCs/>
                <w:sz w:val="20"/>
              </w:rPr>
              <w:t>global Target E</w:t>
            </w:r>
            <w:r>
              <w:rPr>
                <w:rFonts w:cs="Arial"/>
                <w:bCs/>
                <w:sz w:val="20"/>
              </w:rPr>
              <w:t xml:space="preserve"> will also support the achievement of </w:t>
            </w:r>
            <w:r w:rsidRPr="00AC70C3">
              <w:rPr>
                <w:rFonts w:cs="Arial"/>
                <w:bCs/>
                <w:sz w:val="20"/>
              </w:rPr>
              <w:t xml:space="preserve">Sustainable Development Goals 1, </w:t>
            </w:r>
            <w:r w:rsidR="00B90366">
              <w:rPr>
                <w:rFonts w:cs="Arial"/>
                <w:bCs/>
                <w:sz w:val="20"/>
              </w:rPr>
              <w:t xml:space="preserve">3 (health), </w:t>
            </w:r>
            <w:r w:rsidRPr="00AC70C3">
              <w:rPr>
                <w:rFonts w:cs="Arial"/>
                <w:bCs/>
                <w:sz w:val="20"/>
              </w:rPr>
              <w:t>11 and 1</w:t>
            </w:r>
            <w:r>
              <w:rPr>
                <w:rFonts w:cs="Arial"/>
                <w:bCs/>
                <w:sz w:val="20"/>
              </w:rPr>
              <w:t xml:space="preserve">3.  </w:t>
            </w:r>
          </w:p>
        </w:tc>
      </w:tr>
      <w:tr w:rsidR="008B171B"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Default="008B171B" w:rsidP="00AD2972">
            <w:pPr>
              <w:rPr>
                <w:sz w:val="20"/>
              </w:rPr>
            </w:pPr>
            <w:r>
              <w:rPr>
                <w:sz w:val="20"/>
              </w:rPr>
              <w:t>Baseline data and variation</w:t>
            </w:r>
          </w:p>
        </w:tc>
        <w:tc>
          <w:tcPr>
            <w:tcW w:w="3675" w:type="pct"/>
            <w:vAlign w:val="center"/>
          </w:tcPr>
          <w:p w:rsidR="00191A90" w:rsidRPr="0067069C" w:rsidRDefault="00191A90" w:rsidP="0067069C">
            <w:pPr>
              <w:pStyle w:val="ListParagraph"/>
              <w:numPr>
                <w:ilvl w:val="0"/>
                <w:numId w:val="37"/>
              </w:numPr>
              <w:ind w:left="380"/>
              <w:contextualSpacing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67069C">
              <w:rPr>
                <w:rFonts w:cs="Arial"/>
                <w:bCs/>
                <w:sz w:val="20"/>
                <w:szCs w:val="20"/>
              </w:rPr>
              <w:t xml:space="preserve">Based on </w:t>
            </w:r>
            <w:r w:rsidR="005876E1">
              <w:rPr>
                <w:rFonts w:cs="Arial"/>
                <w:bCs/>
                <w:sz w:val="20"/>
                <w:szCs w:val="20"/>
              </w:rPr>
              <w:t xml:space="preserve">the </w:t>
            </w:r>
            <w:r w:rsidR="00763C29" w:rsidRPr="0067069C">
              <w:rPr>
                <w:rFonts w:cs="Arial"/>
                <w:bCs/>
                <w:sz w:val="20"/>
                <w:szCs w:val="20"/>
              </w:rPr>
              <w:t xml:space="preserve">UNISDR </w:t>
            </w:r>
            <w:r w:rsidR="00CB3FBF" w:rsidRPr="0067069C">
              <w:rPr>
                <w:rFonts w:cs="Arial"/>
                <w:bCs/>
                <w:sz w:val="20"/>
                <w:szCs w:val="20"/>
              </w:rPr>
              <w:t>2017 Data Readiness Review</w:t>
            </w:r>
            <w:r w:rsidRPr="0067069C">
              <w:rPr>
                <w:rFonts w:cs="Arial"/>
                <w:bCs/>
                <w:sz w:val="20"/>
                <w:szCs w:val="20"/>
              </w:rPr>
              <w:t xml:space="preserve">, data for </w:t>
            </w:r>
            <w:r w:rsidR="002301C2" w:rsidRPr="0067069C">
              <w:rPr>
                <w:rFonts w:cs="Arial"/>
                <w:bCs/>
                <w:sz w:val="20"/>
                <w:szCs w:val="20"/>
              </w:rPr>
              <w:t>‘</w:t>
            </w:r>
            <w:r w:rsidRPr="0067069C">
              <w:rPr>
                <w:rFonts w:cs="Arial"/>
                <w:bCs/>
                <w:sz w:val="20"/>
                <w:szCs w:val="20"/>
              </w:rPr>
              <w:t>number of countries that adopt and implement national disaster risk reduction strategies</w:t>
            </w:r>
            <w:r w:rsidR="002301C2" w:rsidRPr="0067069C">
              <w:rPr>
                <w:rFonts w:cs="Arial"/>
                <w:bCs/>
                <w:sz w:val="20"/>
                <w:szCs w:val="20"/>
              </w:rPr>
              <w:t>’</w:t>
            </w:r>
            <w:r w:rsidRPr="0067069C">
              <w:rPr>
                <w:rFonts w:cs="Arial"/>
                <w:bCs/>
                <w:sz w:val="20"/>
                <w:szCs w:val="20"/>
              </w:rPr>
              <w:t xml:space="preserve"> are currently available in 47 countries (representing 54% of reporting countries)</w:t>
            </w:r>
            <w:r w:rsidR="00454DA4" w:rsidRPr="0067069C">
              <w:rPr>
                <w:rStyle w:val="FootnoteReference"/>
                <w:rFonts w:cs="Arial"/>
                <w:bCs/>
                <w:sz w:val="20"/>
                <w:szCs w:val="20"/>
              </w:rPr>
              <w:footnoteReference w:id="1"/>
            </w:r>
            <w:r w:rsidRPr="0067069C">
              <w:rPr>
                <w:rFonts w:cs="Arial"/>
                <w:bCs/>
                <w:sz w:val="20"/>
                <w:szCs w:val="20"/>
              </w:rPr>
              <w:t xml:space="preserve">.While for target E2, 34 countries (39% of reporting countries) </w:t>
            </w:r>
            <w:r w:rsidR="00454DA4" w:rsidRPr="0067069C">
              <w:rPr>
                <w:rFonts w:cs="Arial"/>
                <w:bCs/>
                <w:sz w:val="20"/>
                <w:szCs w:val="20"/>
              </w:rPr>
              <w:t>reported</w:t>
            </w:r>
            <w:r w:rsidRPr="0067069C">
              <w:rPr>
                <w:rFonts w:cs="Arial"/>
                <w:bCs/>
                <w:sz w:val="20"/>
                <w:szCs w:val="20"/>
              </w:rPr>
              <w:t xml:space="preserve"> that there are local disaster risk reduction strategies led by local governments.</w:t>
            </w:r>
          </w:p>
          <w:p w:rsidR="005876E1" w:rsidRPr="0067069C" w:rsidRDefault="005876E1" w:rsidP="0067069C">
            <w:pPr>
              <w:pStyle w:val="ListParagraph"/>
              <w:numPr>
                <w:ilvl w:val="0"/>
                <w:numId w:val="37"/>
              </w:numPr>
              <w:ind w:left="380"/>
              <w:contextualSpacing w:val="0"/>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67069C">
              <w:rPr>
                <w:rFonts w:cs="Arial"/>
                <w:bCs/>
                <w:sz w:val="20"/>
                <w:szCs w:val="20"/>
              </w:rPr>
              <w:t xml:space="preserve">As of 16 November 2018, 38 countries have completed national actions plans for health </w:t>
            </w:r>
            <w:r w:rsidRPr="0067069C">
              <w:rPr>
                <w:rFonts w:cs="Arial"/>
                <w:bCs/>
                <w:sz w:val="20"/>
                <w:szCs w:val="20"/>
              </w:rPr>
              <w:lastRenderedPageBreak/>
              <w:t>security.(</w:t>
            </w:r>
            <w:hyperlink r:id="rId9" w:history="1">
              <w:r w:rsidRPr="0067069C">
                <w:rPr>
                  <w:rStyle w:val="Hyperlink"/>
                  <w:rFonts w:cs="Arial"/>
                  <w:b/>
                  <w:bCs/>
                  <w:sz w:val="20"/>
                  <w:szCs w:val="20"/>
                </w:rPr>
                <w:t>https://extranet.who.int/sph/country-planning</w:t>
              </w:r>
            </w:hyperlink>
            <w:r w:rsidRPr="0067069C">
              <w:rPr>
                <w:rFonts w:cs="Arial"/>
                <w:sz w:val="20"/>
                <w:szCs w:val="20"/>
              </w:rPr>
              <w:t xml:space="preserve"> </w:t>
            </w:r>
          </w:p>
          <w:p w:rsidR="00763C29" w:rsidRPr="0067069C" w:rsidRDefault="00763C29" w:rsidP="0067069C">
            <w:pPr>
              <w:pStyle w:val="NoSpacing"/>
              <w:spacing w:before="0"/>
              <w:ind w:left="20"/>
              <w:cnfStyle w:val="000000000000" w:firstRow="0" w:lastRow="0" w:firstColumn="0" w:lastColumn="0" w:oddVBand="0" w:evenVBand="0" w:oddHBand="0" w:evenHBand="0" w:firstRowFirstColumn="0" w:firstRowLastColumn="0" w:lastRowFirstColumn="0" w:lastRowLastColumn="0"/>
              <w:rPr>
                <w:rFonts w:ascii="Arial" w:eastAsiaTheme="minorHAnsi" w:hAnsi="Arial"/>
                <w:bCs/>
                <w:color w:val="auto"/>
                <w:lang w:eastAsia="en-US"/>
              </w:rPr>
            </w:pPr>
            <w:r w:rsidRPr="0067069C">
              <w:rPr>
                <w:rFonts w:ascii="Arial" w:eastAsiaTheme="minorHAnsi" w:hAnsi="Arial"/>
                <w:bCs/>
                <w:color w:val="auto"/>
                <w:lang w:eastAsia="en-US"/>
              </w:rPr>
              <w:t xml:space="preserve">Based on </w:t>
            </w:r>
            <w:r w:rsidR="005876E1">
              <w:rPr>
                <w:rFonts w:ascii="Arial" w:eastAsiaTheme="minorHAnsi" w:hAnsi="Arial"/>
                <w:bCs/>
                <w:color w:val="auto"/>
                <w:lang w:eastAsia="en-US"/>
              </w:rPr>
              <w:t xml:space="preserve">the </w:t>
            </w:r>
            <w:r w:rsidRPr="0067069C">
              <w:rPr>
                <w:rFonts w:ascii="Arial" w:eastAsiaTheme="minorHAnsi" w:hAnsi="Arial"/>
                <w:bCs/>
                <w:color w:val="auto"/>
                <w:lang w:eastAsia="en-US"/>
              </w:rPr>
              <w:t xml:space="preserve">WHO </w:t>
            </w:r>
            <w:r w:rsidR="005876E1" w:rsidRPr="0067069C">
              <w:rPr>
                <w:rFonts w:ascii="Arial" w:eastAsiaTheme="minorHAnsi" w:hAnsi="Arial"/>
                <w:bCs/>
                <w:color w:val="auto"/>
                <w:lang w:eastAsia="en-US"/>
              </w:rPr>
              <w:t>global survey of country c</w:t>
            </w:r>
            <w:r w:rsidRPr="0067069C">
              <w:rPr>
                <w:rFonts w:ascii="Arial" w:eastAsiaTheme="minorHAnsi" w:hAnsi="Arial"/>
                <w:bCs/>
                <w:color w:val="auto"/>
                <w:lang w:eastAsia="en-US"/>
              </w:rPr>
              <w:t>apacities for Health EDRM (2015 – unpublished):</w:t>
            </w:r>
          </w:p>
          <w:p w:rsidR="00160E15" w:rsidRPr="0067069C" w:rsidRDefault="00160E15" w:rsidP="0067069C">
            <w:pPr>
              <w:pStyle w:val="NoSpacing"/>
              <w:numPr>
                <w:ilvl w:val="0"/>
                <w:numId w:val="37"/>
              </w:numPr>
              <w:spacing w:before="0"/>
              <w:ind w:left="380"/>
              <w:cnfStyle w:val="000000000000" w:firstRow="0" w:lastRow="0" w:firstColumn="0" w:lastColumn="0" w:oddVBand="0" w:evenVBand="0" w:oddHBand="0" w:evenHBand="0" w:firstRowFirstColumn="0" w:firstRowLastColumn="0" w:lastRowFirstColumn="0" w:lastRowLastColumn="0"/>
              <w:rPr>
                <w:rFonts w:ascii="Arial" w:hAnsi="Arial"/>
              </w:rPr>
            </w:pPr>
            <w:r w:rsidRPr="0067069C">
              <w:rPr>
                <w:rFonts w:ascii="Arial" w:hAnsi="Arial"/>
              </w:rPr>
              <w:t xml:space="preserve">56 out of 69 countries (81%) had </w:t>
            </w:r>
            <w:r w:rsidRPr="0067069C">
              <w:rPr>
                <w:rFonts w:ascii="Arial" w:hAnsi="Arial"/>
                <w:b/>
              </w:rPr>
              <w:t>national</w:t>
            </w:r>
            <w:r w:rsidRPr="0067069C">
              <w:rPr>
                <w:rFonts w:ascii="Arial" w:hAnsi="Arial"/>
              </w:rPr>
              <w:t xml:space="preserve"> multi-sectoral legislation or policies for EDRM, with 10 (14%) in progress.</w:t>
            </w:r>
          </w:p>
          <w:p w:rsidR="00160E15" w:rsidRPr="0067069C" w:rsidRDefault="00160E15" w:rsidP="0067069C">
            <w:pPr>
              <w:pStyle w:val="ListParagraph"/>
              <w:numPr>
                <w:ilvl w:val="0"/>
                <w:numId w:val="37"/>
              </w:numPr>
              <w:ind w:left="380"/>
              <w:contextualSpacing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67069C">
              <w:rPr>
                <w:rFonts w:cs="Arial"/>
                <w:sz w:val="20"/>
                <w:szCs w:val="20"/>
              </w:rPr>
              <w:t xml:space="preserve">41 out of 60 countries (68%) had </w:t>
            </w:r>
            <w:r w:rsidRPr="0067069C">
              <w:rPr>
                <w:rFonts w:cs="Arial"/>
                <w:b/>
                <w:sz w:val="20"/>
                <w:szCs w:val="20"/>
              </w:rPr>
              <w:t>sub-national</w:t>
            </w:r>
            <w:r w:rsidRPr="0067069C">
              <w:rPr>
                <w:rFonts w:cs="Arial"/>
                <w:sz w:val="20"/>
                <w:szCs w:val="20"/>
              </w:rPr>
              <w:t xml:space="preserve"> multi-sectoral legislation or policies for EDRM, with 7 (12%) in progress </w:t>
            </w:r>
          </w:p>
          <w:p w:rsidR="00160E15" w:rsidRPr="0067069C" w:rsidRDefault="00160E15" w:rsidP="0067069C">
            <w:pPr>
              <w:pStyle w:val="NoSpacing"/>
              <w:numPr>
                <w:ilvl w:val="0"/>
                <w:numId w:val="37"/>
              </w:numPr>
              <w:spacing w:before="0"/>
              <w:ind w:left="380"/>
              <w:cnfStyle w:val="000000000000" w:firstRow="0" w:lastRow="0" w:firstColumn="0" w:lastColumn="0" w:oddVBand="0" w:evenVBand="0" w:oddHBand="0" w:evenHBand="0" w:firstRowFirstColumn="0" w:firstRowLastColumn="0" w:lastRowFirstColumn="0" w:lastRowLastColumn="0"/>
              <w:rPr>
                <w:rFonts w:ascii="Arial" w:hAnsi="Arial"/>
              </w:rPr>
            </w:pPr>
            <w:r w:rsidRPr="0067069C">
              <w:rPr>
                <w:rFonts w:ascii="Arial" w:hAnsi="Arial"/>
              </w:rPr>
              <w:t xml:space="preserve">Of the countries that had </w:t>
            </w:r>
            <w:r w:rsidRPr="0067069C">
              <w:rPr>
                <w:rFonts w:ascii="Arial" w:hAnsi="Arial"/>
                <w:b/>
              </w:rPr>
              <w:t>national</w:t>
            </w:r>
            <w:r w:rsidRPr="0067069C">
              <w:rPr>
                <w:rFonts w:ascii="Arial" w:hAnsi="Arial"/>
              </w:rPr>
              <w:t xml:space="preserve"> multi-sectoral policies or legislation, in 40 countries (71%) </w:t>
            </w:r>
            <w:r w:rsidRPr="0067069C">
              <w:rPr>
                <w:rFonts w:ascii="Arial" w:hAnsi="Arial"/>
                <w:b/>
              </w:rPr>
              <w:t>all</w:t>
            </w:r>
            <w:r w:rsidRPr="0067069C">
              <w:rPr>
                <w:rFonts w:ascii="Arial" w:hAnsi="Arial"/>
              </w:rPr>
              <w:t xml:space="preserve"> of the policies mandated responsibilities for the health sector, and in 15 (27%) only </w:t>
            </w:r>
            <w:r w:rsidRPr="0067069C">
              <w:rPr>
                <w:rFonts w:ascii="Arial" w:hAnsi="Arial"/>
                <w:b/>
              </w:rPr>
              <w:t>some</w:t>
            </w:r>
            <w:r w:rsidRPr="0067069C">
              <w:rPr>
                <w:rFonts w:ascii="Arial" w:hAnsi="Arial"/>
              </w:rPr>
              <w:t xml:space="preserve"> policies referred to the health sector. </w:t>
            </w:r>
          </w:p>
          <w:p w:rsidR="00160E15" w:rsidRPr="0067069C" w:rsidRDefault="00160E15" w:rsidP="0067069C">
            <w:pPr>
              <w:pStyle w:val="NoSpacing"/>
              <w:numPr>
                <w:ilvl w:val="0"/>
                <w:numId w:val="37"/>
              </w:numPr>
              <w:spacing w:before="0"/>
              <w:ind w:left="380"/>
              <w:cnfStyle w:val="000000000000" w:firstRow="0" w:lastRow="0" w:firstColumn="0" w:lastColumn="0" w:oddVBand="0" w:evenVBand="0" w:oddHBand="0" w:evenHBand="0" w:firstRowFirstColumn="0" w:firstRowLastColumn="0" w:lastRowFirstColumn="0" w:lastRowLastColumn="0"/>
              <w:rPr>
                <w:rFonts w:ascii="Arial" w:hAnsi="Arial"/>
              </w:rPr>
            </w:pPr>
            <w:r w:rsidRPr="0067069C">
              <w:rPr>
                <w:rFonts w:ascii="Arial" w:hAnsi="Arial"/>
              </w:rPr>
              <w:t xml:space="preserve">Of the countries that had </w:t>
            </w:r>
            <w:r w:rsidRPr="0067069C">
              <w:rPr>
                <w:rFonts w:ascii="Arial" w:hAnsi="Arial"/>
                <w:b/>
              </w:rPr>
              <w:t>sub-national</w:t>
            </w:r>
            <w:r w:rsidRPr="0067069C">
              <w:rPr>
                <w:rFonts w:ascii="Arial" w:hAnsi="Arial"/>
              </w:rPr>
              <w:t xml:space="preserve"> multi-sectoral policies or legislation, </w:t>
            </w:r>
            <w:r w:rsidRPr="0067069C">
              <w:rPr>
                <w:rFonts w:ascii="Arial" w:hAnsi="Arial"/>
                <w:b/>
              </w:rPr>
              <w:t>all</w:t>
            </w:r>
            <w:r w:rsidRPr="0067069C">
              <w:rPr>
                <w:rFonts w:ascii="Arial" w:hAnsi="Arial"/>
              </w:rPr>
              <w:t xml:space="preserve"> of the policies in 33 countries (66%) mandated responsibilities for the health sector, and some pol</w:t>
            </w:r>
            <w:r w:rsidR="00763C29" w:rsidRPr="0067069C">
              <w:rPr>
                <w:rFonts w:ascii="Arial" w:hAnsi="Arial"/>
              </w:rPr>
              <w:t>icies in 14 countries (28%).</w:t>
            </w:r>
          </w:p>
          <w:p w:rsidR="00160E15" w:rsidRPr="0067069C" w:rsidRDefault="00160E15" w:rsidP="0067069C">
            <w:pPr>
              <w:pStyle w:val="NoSpacing"/>
              <w:numPr>
                <w:ilvl w:val="0"/>
                <w:numId w:val="37"/>
              </w:numPr>
              <w:spacing w:before="0"/>
              <w:ind w:left="380"/>
              <w:cnfStyle w:val="000000000000" w:firstRow="0" w:lastRow="0" w:firstColumn="0" w:lastColumn="0" w:oddVBand="0" w:evenVBand="0" w:oddHBand="0" w:evenHBand="0" w:firstRowFirstColumn="0" w:firstRowLastColumn="0" w:lastRowFirstColumn="0" w:lastRowLastColumn="0"/>
              <w:rPr>
                <w:rFonts w:ascii="Arial" w:hAnsi="Arial"/>
              </w:rPr>
            </w:pPr>
            <w:r w:rsidRPr="0067069C">
              <w:rPr>
                <w:rFonts w:ascii="Arial" w:hAnsi="Arial"/>
                <w:noProof/>
                <w:lang w:val="en-AU" w:eastAsia="en-AU"/>
              </w:rPr>
              <w:t>41</w:t>
            </w:r>
            <w:r w:rsidRPr="0067069C">
              <w:rPr>
                <w:rFonts w:ascii="Arial" w:hAnsi="Arial"/>
              </w:rPr>
              <w:t xml:space="preserve"> out of 69 countries (59%) had </w:t>
            </w:r>
            <w:r w:rsidRPr="0067069C">
              <w:rPr>
                <w:rFonts w:ascii="Arial" w:hAnsi="Arial"/>
                <w:b/>
              </w:rPr>
              <w:t>national</w:t>
            </w:r>
            <w:r w:rsidRPr="0067069C">
              <w:rPr>
                <w:rFonts w:ascii="Arial" w:hAnsi="Arial"/>
              </w:rPr>
              <w:t xml:space="preserve"> multi-sectoral plans to develop EDRM capacities, with 23 (33%) in progress.</w:t>
            </w:r>
          </w:p>
          <w:p w:rsidR="00160E15" w:rsidRPr="0067069C" w:rsidRDefault="00160E15" w:rsidP="0067069C">
            <w:pPr>
              <w:pStyle w:val="NoSpacing"/>
              <w:numPr>
                <w:ilvl w:val="0"/>
                <w:numId w:val="37"/>
              </w:numPr>
              <w:spacing w:before="0"/>
              <w:ind w:left="380"/>
              <w:cnfStyle w:val="000000000000" w:firstRow="0" w:lastRow="0" w:firstColumn="0" w:lastColumn="0" w:oddVBand="0" w:evenVBand="0" w:oddHBand="0" w:evenHBand="0" w:firstRowFirstColumn="0" w:firstRowLastColumn="0" w:lastRowFirstColumn="0" w:lastRowLastColumn="0"/>
              <w:rPr>
                <w:rFonts w:ascii="Arial" w:hAnsi="Arial"/>
              </w:rPr>
            </w:pPr>
            <w:r w:rsidRPr="0067069C">
              <w:rPr>
                <w:rFonts w:ascii="Arial" w:hAnsi="Arial"/>
              </w:rPr>
              <w:t xml:space="preserve">28 out of 60 countries (47%) had </w:t>
            </w:r>
            <w:r w:rsidRPr="0067069C">
              <w:rPr>
                <w:rFonts w:ascii="Arial" w:hAnsi="Arial"/>
                <w:b/>
              </w:rPr>
              <w:t>sub-national</w:t>
            </w:r>
            <w:r w:rsidRPr="0067069C">
              <w:rPr>
                <w:rFonts w:ascii="Arial" w:hAnsi="Arial"/>
              </w:rPr>
              <w:t xml:space="preserve"> multi-sectoral plans to develop EDRM capacities, with 22 (37%) in progress </w:t>
            </w:r>
          </w:p>
          <w:p w:rsidR="00160E15" w:rsidRPr="0067069C" w:rsidRDefault="00160E15" w:rsidP="0067069C">
            <w:pPr>
              <w:pStyle w:val="ListParagraph"/>
              <w:numPr>
                <w:ilvl w:val="0"/>
                <w:numId w:val="37"/>
              </w:numPr>
              <w:ind w:left="380"/>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67069C">
              <w:rPr>
                <w:rFonts w:cs="Arial"/>
                <w:sz w:val="20"/>
                <w:szCs w:val="20"/>
              </w:rPr>
              <w:t xml:space="preserve">58 out of 91 countries (64%) had </w:t>
            </w:r>
            <w:r w:rsidR="00763C29" w:rsidRPr="0067069C">
              <w:rPr>
                <w:rFonts w:cs="Arial"/>
                <w:sz w:val="20"/>
                <w:szCs w:val="20"/>
              </w:rPr>
              <w:t xml:space="preserve">a </w:t>
            </w:r>
            <w:r w:rsidRPr="0067069C">
              <w:rPr>
                <w:rFonts w:cs="Arial"/>
                <w:b/>
                <w:sz w:val="20"/>
                <w:szCs w:val="20"/>
              </w:rPr>
              <w:t xml:space="preserve">national health policy on </w:t>
            </w:r>
            <w:r w:rsidR="00763C29" w:rsidRPr="0067069C">
              <w:rPr>
                <w:rFonts w:cs="Arial"/>
                <w:b/>
                <w:sz w:val="20"/>
                <w:szCs w:val="20"/>
              </w:rPr>
              <w:t>Health EDRM</w:t>
            </w:r>
            <w:r w:rsidRPr="0067069C">
              <w:rPr>
                <w:rFonts w:cs="Arial"/>
                <w:sz w:val="20"/>
                <w:szCs w:val="20"/>
              </w:rPr>
              <w:t xml:space="preserve">, with 21 (23%) in progress. 46 out of 81 countries (57%) had </w:t>
            </w:r>
            <w:r w:rsidRPr="0067069C">
              <w:rPr>
                <w:rFonts w:cs="Arial"/>
                <w:b/>
                <w:sz w:val="20"/>
                <w:szCs w:val="20"/>
              </w:rPr>
              <w:t xml:space="preserve">sub-national health policy on </w:t>
            </w:r>
            <w:r w:rsidR="00763C29" w:rsidRPr="0067069C">
              <w:rPr>
                <w:rFonts w:cs="Arial"/>
                <w:b/>
                <w:sz w:val="20"/>
                <w:szCs w:val="20"/>
              </w:rPr>
              <w:t>Health EDRM</w:t>
            </w:r>
            <w:r w:rsidRPr="0067069C">
              <w:rPr>
                <w:rFonts w:cs="Arial"/>
                <w:sz w:val="20"/>
                <w:szCs w:val="20"/>
              </w:rPr>
              <w:t>, with 14</w:t>
            </w:r>
            <w:r w:rsidR="00763C29" w:rsidRPr="0067069C">
              <w:rPr>
                <w:rFonts w:cs="Arial"/>
                <w:sz w:val="20"/>
                <w:szCs w:val="20"/>
              </w:rPr>
              <w:t xml:space="preserve"> (17%) in progress.</w:t>
            </w:r>
          </w:p>
          <w:p w:rsidR="00160E15" w:rsidRPr="0067069C" w:rsidRDefault="00F61C18" w:rsidP="0067069C">
            <w:pPr>
              <w:pStyle w:val="ListParagraph"/>
              <w:numPr>
                <w:ilvl w:val="0"/>
                <w:numId w:val="37"/>
              </w:numPr>
              <w:ind w:left="380"/>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67069C">
              <w:rPr>
                <w:rFonts w:cs="Arial"/>
                <w:sz w:val="20"/>
                <w:szCs w:val="20"/>
              </w:rPr>
              <w:t>37 of 90 (41%) countries had national capacity development plans to strengthen EDRM-H, with 29 (32%) in progress. 29 of 79 (37%) countries had sub-national capacity development plans to strengthen EDRM-H, with 21 (27%) in progress</w:t>
            </w:r>
            <w:r w:rsidR="00763C29" w:rsidRPr="0067069C">
              <w:rPr>
                <w:rFonts w:cs="Arial"/>
                <w:sz w:val="20"/>
                <w:szCs w:val="20"/>
              </w:rPr>
              <w:t>.</w:t>
            </w:r>
          </w:p>
          <w:p w:rsidR="00995D8C" w:rsidRPr="00454DA4" w:rsidRDefault="005876E1">
            <w:pPr>
              <w:pStyle w:val="ListParagraph"/>
              <w:numPr>
                <w:ilvl w:val="0"/>
                <w:numId w:val="30"/>
              </w:numPr>
              <w:ind w:left="241" w:hanging="241"/>
              <w:jc w:val="both"/>
              <w:cnfStyle w:val="000000000000" w:firstRow="0" w:lastRow="0" w:firstColumn="0" w:lastColumn="0" w:oddVBand="0" w:evenVBand="0" w:oddHBand="0" w:evenHBand="0" w:firstRowFirstColumn="0" w:firstRowLastColumn="0" w:lastRowFirstColumn="0" w:lastRowLastColumn="0"/>
              <w:rPr>
                <w:rFonts w:cs="Arial"/>
                <w:bCs/>
                <w:sz w:val="20"/>
              </w:rPr>
            </w:pPr>
            <w:r w:rsidRPr="0067069C">
              <w:rPr>
                <w:rFonts w:cs="Arial"/>
                <w:bCs/>
                <w:sz w:val="20"/>
                <w:szCs w:val="20"/>
              </w:rPr>
              <w:t xml:space="preserve">In 2008, </w:t>
            </w:r>
            <w:r w:rsidR="0001457D" w:rsidRPr="0067069C">
              <w:rPr>
                <w:rFonts w:cs="Arial"/>
                <w:bCs/>
                <w:sz w:val="20"/>
                <w:szCs w:val="20"/>
              </w:rPr>
              <w:t>o</w:t>
            </w:r>
            <w:r w:rsidR="008549EC" w:rsidRPr="0067069C">
              <w:rPr>
                <w:rFonts w:cs="Arial"/>
                <w:bCs/>
                <w:sz w:val="20"/>
                <w:szCs w:val="20"/>
              </w:rPr>
              <w:t>nly two-thirds of 60 surveyed countries reported a policy on health sector emergency preparedness and response programmes at the national and provincial levels, and policy on health sector emergency preparedness and response plans</w:t>
            </w:r>
            <w:r w:rsidR="00454DA4" w:rsidRPr="0067069C">
              <w:rPr>
                <w:rStyle w:val="FootnoteReference"/>
                <w:rFonts w:cs="Arial"/>
                <w:bCs/>
                <w:sz w:val="20"/>
                <w:szCs w:val="20"/>
              </w:rPr>
              <w:footnoteReference w:id="2"/>
            </w:r>
            <w:r w:rsidR="00797D32" w:rsidRPr="0067069C">
              <w:rPr>
                <w:rFonts w:cs="Arial"/>
                <w:bCs/>
                <w:sz w:val="20"/>
                <w:szCs w:val="20"/>
              </w:rPr>
              <w:t>.</w:t>
            </w:r>
            <w:r w:rsidR="0001457D" w:rsidRPr="00454DA4">
              <w:rPr>
                <w:rFonts w:cs="Arial"/>
                <w:bCs/>
                <w:sz w:val="20"/>
              </w:rPr>
              <w:t xml:space="preserve"> </w:t>
            </w:r>
          </w:p>
        </w:tc>
      </w:tr>
      <w:tr w:rsidR="00613CFC"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613CFC" w:rsidRDefault="00613CFC" w:rsidP="00613CFC">
            <w:pPr>
              <w:rPr>
                <w:sz w:val="20"/>
              </w:rPr>
            </w:pPr>
            <w:r>
              <w:rPr>
                <w:sz w:val="20"/>
              </w:rPr>
              <w:lastRenderedPageBreak/>
              <w:t>Issues/ challenges</w:t>
            </w:r>
          </w:p>
          <w:p w:rsidR="00613CFC" w:rsidRPr="008B171B" w:rsidRDefault="00613CFC" w:rsidP="00613CFC">
            <w:pPr>
              <w:pStyle w:val="ListParagraph"/>
              <w:numPr>
                <w:ilvl w:val="0"/>
                <w:numId w:val="15"/>
              </w:numPr>
              <w:ind w:left="426"/>
              <w:rPr>
                <w:sz w:val="20"/>
              </w:rPr>
            </w:pPr>
            <w:r w:rsidRPr="008B171B">
              <w:rPr>
                <w:sz w:val="20"/>
              </w:rPr>
              <w:t xml:space="preserve">Role of health </w:t>
            </w:r>
          </w:p>
          <w:p w:rsidR="00613CFC" w:rsidRPr="008B171B" w:rsidRDefault="00613CFC" w:rsidP="00613CFC">
            <w:pPr>
              <w:pStyle w:val="ListParagraph"/>
              <w:numPr>
                <w:ilvl w:val="0"/>
                <w:numId w:val="15"/>
              </w:numPr>
              <w:ind w:left="426"/>
              <w:rPr>
                <w:sz w:val="20"/>
              </w:rPr>
            </w:pPr>
            <w:r w:rsidRPr="008B171B">
              <w:rPr>
                <w:sz w:val="20"/>
              </w:rPr>
              <w:t xml:space="preserve">Policy </w:t>
            </w:r>
          </w:p>
          <w:p w:rsidR="00613CFC" w:rsidRPr="008B171B" w:rsidRDefault="00613CFC" w:rsidP="00613CFC">
            <w:pPr>
              <w:pStyle w:val="ListParagraph"/>
              <w:numPr>
                <w:ilvl w:val="0"/>
                <w:numId w:val="15"/>
              </w:numPr>
              <w:ind w:left="426"/>
              <w:rPr>
                <w:sz w:val="20"/>
              </w:rPr>
            </w:pPr>
            <w:r w:rsidRPr="008B171B">
              <w:rPr>
                <w:sz w:val="20"/>
              </w:rPr>
              <w:t>Governance</w:t>
            </w:r>
          </w:p>
          <w:p w:rsidR="00613CFC" w:rsidRPr="008B171B" w:rsidRDefault="00613CFC" w:rsidP="00613CFC">
            <w:pPr>
              <w:pStyle w:val="ListParagraph"/>
              <w:numPr>
                <w:ilvl w:val="0"/>
                <w:numId w:val="15"/>
              </w:numPr>
              <w:ind w:left="426"/>
              <w:rPr>
                <w:sz w:val="20"/>
              </w:rPr>
            </w:pPr>
            <w:r w:rsidRPr="008B171B">
              <w:rPr>
                <w:sz w:val="20"/>
              </w:rPr>
              <w:t xml:space="preserve">Adoption and implementation </w:t>
            </w:r>
          </w:p>
          <w:p w:rsidR="00613CFC" w:rsidRDefault="00613CFC" w:rsidP="00613CFC">
            <w:pPr>
              <w:pStyle w:val="ListParagraph"/>
              <w:numPr>
                <w:ilvl w:val="0"/>
                <w:numId w:val="15"/>
              </w:numPr>
              <w:ind w:left="426"/>
              <w:rPr>
                <w:sz w:val="20"/>
              </w:rPr>
            </w:pPr>
            <w:r w:rsidRPr="008B171B">
              <w:rPr>
                <w:sz w:val="20"/>
              </w:rPr>
              <w:t>Temporal aspect – data collection</w:t>
            </w:r>
          </w:p>
          <w:p w:rsidR="00613CFC" w:rsidRDefault="00613CFC" w:rsidP="00AD2972">
            <w:pPr>
              <w:rPr>
                <w:sz w:val="20"/>
              </w:rPr>
            </w:pPr>
          </w:p>
        </w:tc>
        <w:tc>
          <w:tcPr>
            <w:tcW w:w="3675" w:type="pct"/>
            <w:vAlign w:val="center"/>
          </w:tcPr>
          <w:p w:rsidR="00B769DB" w:rsidRPr="0067069C" w:rsidRDefault="00B769DB">
            <w:pPr>
              <w:pStyle w:val="ListParagraph"/>
              <w:numPr>
                <w:ilvl w:val="0"/>
                <w:numId w:val="29"/>
              </w:numPr>
              <w:autoSpaceDE w:val="0"/>
              <w:autoSpaceDN w:val="0"/>
              <w:adjustRightInd w:val="0"/>
              <w:ind w:left="241" w:hanging="241"/>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 xml:space="preserve">This target has </w:t>
            </w:r>
            <w:r w:rsidR="00B90366">
              <w:rPr>
                <w:rFonts w:cs="Arial"/>
                <w:bCs/>
                <w:sz w:val="20"/>
                <w:szCs w:val="20"/>
              </w:rPr>
              <w:t xml:space="preserve">the </w:t>
            </w:r>
            <w:r>
              <w:rPr>
                <w:rFonts w:cs="Arial"/>
                <w:bCs/>
                <w:sz w:val="20"/>
                <w:szCs w:val="20"/>
              </w:rPr>
              <w:t>milestone for achievement and reporting of 2020.</w:t>
            </w:r>
          </w:p>
          <w:p w:rsidR="006D6FCE" w:rsidRDefault="007F5652" w:rsidP="006D6FCE">
            <w:pPr>
              <w:pStyle w:val="ListParagraph"/>
              <w:numPr>
                <w:ilvl w:val="0"/>
                <w:numId w:val="29"/>
              </w:numPr>
              <w:autoSpaceDE w:val="0"/>
              <w:autoSpaceDN w:val="0"/>
              <w:adjustRightInd w:val="0"/>
              <w:ind w:left="241" w:hanging="241"/>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67069C">
              <w:rPr>
                <w:rFonts w:cs="Arial"/>
                <w:bCs/>
                <w:iCs/>
                <w:sz w:val="20"/>
                <w:szCs w:val="20"/>
              </w:rPr>
              <w:t>Disaster risk governance</w:t>
            </w:r>
            <w:r w:rsidRPr="002A6FCE">
              <w:rPr>
                <w:rFonts w:cs="Arial"/>
                <w:bCs/>
                <w:sz w:val="20"/>
                <w:szCs w:val="20"/>
              </w:rPr>
              <w:t xml:space="preserve"> – among the challenges among countries are in hav</w:t>
            </w:r>
            <w:r w:rsidR="002A6FCE">
              <w:rPr>
                <w:rFonts w:cs="Arial"/>
                <w:bCs/>
                <w:sz w:val="20"/>
                <w:szCs w:val="20"/>
              </w:rPr>
              <w:t>i</w:t>
            </w:r>
            <w:r w:rsidRPr="002A6FCE">
              <w:rPr>
                <w:rFonts w:cs="Arial"/>
                <w:bCs/>
                <w:sz w:val="20"/>
                <w:szCs w:val="20"/>
              </w:rPr>
              <w:t>ng the national disaster risk reduction strategies, identifying targets and aiming at preventing the creation of new risk</w:t>
            </w:r>
            <w:r w:rsidR="00B769DB">
              <w:rPr>
                <w:rFonts w:cs="Arial"/>
                <w:bCs/>
                <w:sz w:val="20"/>
                <w:szCs w:val="20"/>
              </w:rPr>
              <w:t>s</w:t>
            </w:r>
          </w:p>
          <w:p w:rsidR="00B769DB" w:rsidRDefault="00B769DB">
            <w:pPr>
              <w:pStyle w:val="ListParagraph"/>
              <w:numPr>
                <w:ilvl w:val="0"/>
                <w:numId w:val="29"/>
              </w:numPr>
              <w:autoSpaceDE w:val="0"/>
              <w:autoSpaceDN w:val="0"/>
              <w:adjustRightInd w:val="0"/>
              <w:ind w:left="241" w:hanging="241"/>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 xml:space="preserve">Countries </w:t>
            </w:r>
            <w:r w:rsidR="00A72168">
              <w:rPr>
                <w:rFonts w:cs="Arial"/>
                <w:bCs/>
                <w:sz w:val="20"/>
                <w:szCs w:val="20"/>
              </w:rPr>
              <w:t xml:space="preserve">should </w:t>
            </w:r>
            <w:r>
              <w:rPr>
                <w:rFonts w:cs="Arial"/>
                <w:bCs/>
                <w:sz w:val="20"/>
                <w:szCs w:val="20"/>
              </w:rPr>
              <w:t xml:space="preserve">determine </w:t>
            </w:r>
            <w:r w:rsidRPr="00B769DB">
              <w:rPr>
                <w:rFonts w:cs="Arial"/>
                <w:bCs/>
                <w:sz w:val="20"/>
                <w:szCs w:val="20"/>
              </w:rPr>
              <w:t xml:space="preserve">the administrative levels for </w:t>
            </w:r>
            <w:r>
              <w:rPr>
                <w:rFonts w:cs="Arial"/>
                <w:bCs/>
                <w:sz w:val="20"/>
                <w:szCs w:val="20"/>
              </w:rPr>
              <w:t xml:space="preserve">both development and reporting of </w:t>
            </w:r>
            <w:r w:rsidRPr="00B769DB">
              <w:rPr>
                <w:rFonts w:cs="Arial"/>
                <w:bCs/>
                <w:sz w:val="20"/>
                <w:szCs w:val="20"/>
              </w:rPr>
              <w:t xml:space="preserve">national and local </w:t>
            </w:r>
            <w:r>
              <w:rPr>
                <w:rFonts w:cs="Arial"/>
                <w:bCs/>
                <w:sz w:val="20"/>
                <w:szCs w:val="20"/>
              </w:rPr>
              <w:t>multisectoral and health strategies: e.g., national/c</w:t>
            </w:r>
            <w:r w:rsidRPr="00B769DB">
              <w:rPr>
                <w:rFonts w:cs="Arial"/>
                <w:bCs/>
                <w:sz w:val="20"/>
                <w:szCs w:val="20"/>
              </w:rPr>
              <w:t>entral, sub-national (provincial, s</w:t>
            </w:r>
            <w:r>
              <w:rPr>
                <w:rFonts w:cs="Arial"/>
                <w:bCs/>
                <w:sz w:val="20"/>
                <w:szCs w:val="20"/>
              </w:rPr>
              <w:t>tate), district, local.</w:t>
            </w:r>
            <w:r w:rsidR="00B90366">
              <w:rPr>
                <w:rFonts w:cs="Arial"/>
                <w:bCs/>
                <w:sz w:val="20"/>
                <w:szCs w:val="20"/>
              </w:rPr>
              <w:t xml:space="preserve"> Ministries of Health will need to review alignment with health boundaries.</w:t>
            </w:r>
          </w:p>
          <w:p w:rsidR="00A72168" w:rsidRDefault="005876E1">
            <w:pPr>
              <w:pStyle w:val="ListParagraph"/>
              <w:numPr>
                <w:ilvl w:val="0"/>
                <w:numId w:val="29"/>
              </w:numPr>
              <w:autoSpaceDE w:val="0"/>
              <w:autoSpaceDN w:val="0"/>
              <w:adjustRightInd w:val="0"/>
              <w:ind w:left="241" w:hanging="241"/>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B769DB">
              <w:rPr>
                <w:rFonts w:cs="Arial"/>
                <w:bCs/>
                <w:sz w:val="20"/>
                <w:szCs w:val="20"/>
              </w:rPr>
              <w:t xml:space="preserve">Inclusion of health sector strategies in the national and local multisectoral strategies: strategies for implementing </w:t>
            </w:r>
            <w:r w:rsidR="00B769DB" w:rsidRPr="00B769DB">
              <w:rPr>
                <w:rFonts w:cs="Arial"/>
                <w:bCs/>
                <w:sz w:val="20"/>
                <w:szCs w:val="20"/>
              </w:rPr>
              <w:t xml:space="preserve">Health EDRM, </w:t>
            </w:r>
            <w:r w:rsidRPr="00B769DB">
              <w:rPr>
                <w:rFonts w:cs="Arial"/>
                <w:bCs/>
                <w:sz w:val="20"/>
                <w:szCs w:val="20"/>
              </w:rPr>
              <w:t xml:space="preserve">the </w:t>
            </w:r>
            <w:r w:rsidR="006D6FCE" w:rsidRPr="00B769DB">
              <w:rPr>
                <w:rFonts w:cs="Arial"/>
                <w:bCs/>
                <w:sz w:val="20"/>
                <w:szCs w:val="20"/>
              </w:rPr>
              <w:t>International</w:t>
            </w:r>
            <w:r w:rsidR="00B769DB" w:rsidRPr="00B769DB">
              <w:rPr>
                <w:rFonts w:cs="Arial"/>
                <w:bCs/>
                <w:sz w:val="20"/>
                <w:szCs w:val="20"/>
              </w:rPr>
              <w:t xml:space="preserve"> </w:t>
            </w:r>
            <w:r w:rsidR="006D6FCE" w:rsidRPr="00B769DB">
              <w:rPr>
                <w:rFonts w:cs="Arial"/>
                <w:bCs/>
                <w:sz w:val="20"/>
                <w:szCs w:val="20"/>
              </w:rPr>
              <w:t>Health Regulations</w:t>
            </w:r>
            <w:r w:rsidR="00A72168">
              <w:rPr>
                <w:rFonts w:cs="Arial"/>
                <w:bCs/>
                <w:sz w:val="20"/>
                <w:szCs w:val="20"/>
              </w:rPr>
              <w:t xml:space="preserve"> </w:t>
            </w:r>
            <w:r w:rsidR="006D6FCE" w:rsidRPr="00B769DB">
              <w:rPr>
                <w:rFonts w:cs="Arial"/>
                <w:bCs/>
                <w:sz w:val="20"/>
                <w:szCs w:val="20"/>
              </w:rPr>
              <w:t>(2005)</w:t>
            </w:r>
            <w:r w:rsidR="00D57B88" w:rsidRPr="00B769DB">
              <w:rPr>
                <w:rFonts w:cs="Arial"/>
                <w:bCs/>
                <w:sz w:val="20"/>
                <w:szCs w:val="20"/>
              </w:rPr>
              <w:t xml:space="preserve"> </w:t>
            </w:r>
            <w:r w:rsidR="006D6FCE" w:rsidRPr="00B769DB">
              <w:rPr>
                <w:rFonts w:cs="Arial"/>
                <w:bCs/>
                <w:sz w:val="20"/>
                <w:szCs w:val="20"/>
              </w:rPr>
              <w:t>and</w:t>
            </w:r>
            <w:r w:rsidR="00D57B88" w:rsidRPr="00B769DB">
              <w:rPr>
                <w:rFonts w:cs="Arial"/>
                <w:bCs/>
                <w:sz w:val="20"/>
                <w:szCs w:val="20"/>
              </w:rPr>
              <w:t xml:space="preserve"> </w:t>
            </w:r>
            <w:r w:rsidR="00B769DB" w:rsidRPr="00B769DB">
              <w:rPr>
                <w:rFonts w:cs="Arial"/>
                <w:bCs/>
                <w:sz w:val="20"/>
                <w:szCs w:val="20"/>
              </w:rPr>
              <w:t>building r</w:t>
            </w:r>
            <w:r w:rsidR="00D57B88" w:rsidRPr="00B769DB">
              <w:rPr>
                <w:rFonts w:cs="Arial"/>
                <w:bCs/>
                <w:sz w:val="20"/>
                <w:szCs w:val="20"/>
              </w:rPr>
              <w:t>esilient health system</w:t>
            </w:r>
            <w:r w:rsidR="00B769DB" w:rsidRPr="00B769DB">
              <w:rPr>
                <w:rFonts w:cs="Arial"/>
                <w:bCs/>
                <w:sz w:val="20"/>
                <w:szCs w:val="20"/>
              </w:rPr>
              <w:t>s</w:t>
            </w:r>
            <w:r w:rsidR="00D57B88" w:rsidRPr="00B769DB">
              <w:rPr>
                <w:rFonts w:cs="Arial"/>
                <w:bCs/>
                <w:sz w:val="20"/>
                <w:szCs w:val="20"/>
              </w:rPr>
              <w:t xml:space="preserve"> </w:t>
            </w:r>
            <w:r w:rsidR="00B769DB" w:rsidRPr="00B769DB">
              <w:rPr>
                <w:rFonts w:cs="Arial"/>
                <w:bCs/>
                <w:sz w:val="20"/>
                <w:szCs w:val="20"/>
              </w:rPr>
              <w:t xml:space="preserve">are </w:t>
            </w:r>
            <w:r w:rsidR="00D57B88" w:rsidRPr="00B769DB">
              <w:rPr>
                <w:rFonts w:cs="Arial"/>
                <w:bCs/>
                <w:sz w:val="20"/>
                <w:szCs w:val="20"/>
              </w:rPr>
              <w:t xml:space="preserve">part of the national </w:t>
            </w:r>
            <w:r w:rsidR="00B769DB">
              <w:rPr>
                <w:rFonts w:cs="Arial"/>
                <w:bCs/>
                <w:sz w:val="20"/>
                <w:szCs w:val="20"/>
              </w:rPr>
              <w:t xml:space="preserve">and local </w:t>
            </w:r>
            <w:r w:rsidR="00D57B88" w:rsidRPr="00B769DB">
              <w:rPr>
                <w:rFonts w:cs="Arial"/>
                <w:bCs/>
                <w:sz w:val="20"/>
                <w:szCs w:val="20"/>
              </w:rPr>
              <w:t xml:space="preserve">disaster risk reduction strategies. </w:t>
            </w:r>
          </w:p>
          <w:p w:rsidR="006D6FCE" w:rsidRPr="00B769DB" w:rsidRDefault="00A72168">
            <w:pPr>
              <w:pStyle w:val="ListParagraph"/>
              <w:numPr>
                <w:ilvl w:val="0"/>
                <w:numId w:val="29"/>
              </w:numPr>
              <w:autoSpaceDE w:val="0"/>
              <w:autoSpaceDN w:val="0"/>
              <w:adjustRightInd w:val="0"/>
              <w:ind w:left="241" w:hanging="241"/>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Strategies should be multi-hazard including biological hazards.</w:t>
            </w:r>
          </w:p>
          <w:p w:rsidR="007F5652" w:rsidRPr="00AA605A" w:rsidRDefault="00A72168">
            <w:pPr>
              <w:pStyle w:val="ListParagraph"/>
              <w:numPr>
                <w:ilvl w:val="0"/>
                <w:numId w:val="29"/>
              </w:numPr>
              <w:autoSpaceDE w:val="0"/>
              <w:autoSpaceDN w:val="0"/>
              <w:adjustRightInd w:val="0"/>
              <w:ind w:left="241" w:hanging="241"/>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 xml:space="preserve">Strategies </w:t>
            </w:r>
            <w:r w:rsidR="00B769DB">
              <w:rPr>
                <w:rFonts w:cs="Arial"/>
                <w:bCs/>
                <w:sz w:val="20"/>
                <w:szCs w:val="20"/>
              </w:rPr>
              <w:t xml:space="preserve">should address the </w:t>
            </w:r>
            <w:r w:rsidR="006D6FCE" w:rsidRPr="001F620D">
              <w:rPr>
                <w:rFonts w:cs="Arial"/>
                <w:bCs/>
                <w:sz w:val="20"/>
                <w:szCs w:val="20"/>
              </w:rPr>
              <w:t xml:space="preserve">10 key elements </w:t>
            </w:r>
            <w:r w:rsidR="00B769DB">
              <w:rPr>
                <w:rFonts w:cs="Arial"/>
                <w:bCs/>
                <w:sz w:val="20"/>
                <w:szCs w:val="20"/>
              </w:rPr>
              <w:t xml:space="preserve">of the indicator in </w:t>
            </w:r>
            <w:r w:rsidR="006D6FCE" w:rsidRPr="001F620D">
              <w:rPr>
                <w:rFonts w:cs="Arial"/>
                <w:bCs/>
                <w:sz w:val="20"/>
                <w:szCs w:val="20"/>
              </w:rPr>
              <w:t xml:space="preserve">order to be considered </w:t>
            </w:r>
            <w:r w:rsidR="00B769DB">
              <w:rPr>
                <w:rFonts w:cs="Arial"/>
                <w:bCs/>
                <w:sz w:val="20"/>
                <w:szCs w:val="20"/>
              </w:rPr>
              <w:t xml:space="preserve">to be aligned with the </w:t>
            </w:r>
            <w:r w:rsidR="006D6FCE" w:rsidRPr="001F620D">
              <w:rPr>
                <w:rFonts w:cs="Arial"/>
                <w:bCs/>
                <w:sz w:val="20"/>
                <w:szCs w:val="20"/>
              </w:rPr>
              <w:t xml:space="preserve">Sendai Framework. </w:t>
            </w:r>
            <w:r w:rsidR="00B769DB">
              <w:rPr>
                <w:rFonts w:cs="Arial"/>
                <w:bCs/>
                <w:sz w:val="20"/>
                <w:szCs w:val="20"/>
              </w:rPr>
              <w:t>However, the health sector strategies may not follow the same structure.</w:t>
            </w:r>
          </w:p>
        </w:tc>
      </w:tr>
    </w:tbl>
    <w:p w:rsidR="001335E7" w:rsidRDefault="001335E7" w:rsidP="001335E7">
      <w:pPr>
        <w:pStyle w:val="ListParagraph"/>
        <w:spacing w:after="0" w:line="360" w:lineRule="auto"/>
        <w:ind w:left="426"/>
        <w:rPr>
          <w:b/>
        </w:rPr>
      </w:pPr>
    </w:p>
    <w:p w:rsidR="001335E7" w:rsidRDefault="001335E7" w:rsidP="00E70D5D">
      <w:pPr>
        <w:pStyle w:val="ListParagraph"/>
        <w:numPr>
          <w:ilvl w:val="0"/>
          <w:numId w:val="1"/>
        </w:numPr>
        <w:spacing w:after="0" w:line="360" w:lineRule="auto"/>
        <w:ind w:left="426"/>
        <w:rPr>
          <w:b/>
        </w:rPr>
      </w:pPr>
      <w:r>
        <w:rPr>
          <w:b/>
        </w:rPr>
        <w:t>Methodology</w:t>
      </w:r>
    </w:p>
    <w:tbl>
      <w:tblPr>
        <w:tblStyle w:val="MediumGrid3-Accent1"/>
        <w:tblW w:w="5000" w:type="pct"/>
        <w:tblLook w:val="0680" w:firstRow="0" w:lastRow="0" w:firstColumn="1" w:lastColumn="0" w:noHBand="1" w:noVBand="1"/>
      </w:tblPr>
      <w:tblGrid>
        <w:gridCol w:w="2375"/>
        <w:gridCol w:w="6867"/>
      </w:tblGrid>
      <w:tr w:rsidR="007133C9" w:rsidRPr="006F33FC" w:rsidTr="0067069C">
        <w:trPr>
          <w:trHeight w:val="122"/>
        </w:trPr>
        <w:tc>
          <w:tcPr>
            <w:cnfStyle w:val="001000000000" w:firstRow="0" w:lastRow="0" w:firstColumn="1" w:lastColumn="0" w:oddVBand="0" w:evenVBand="0" w:oddHBand="0" w:evenHBand="0" w:firstRowFirstColumn="0" w:firstRowLastColumn="0" w:lastRowFirstColumn="0" w:lastRowLastColumn="0"/>
            <w:tcW w:w="1285" w:type="pct"/>
            <w:vAlign w:val="center"/>
          </w:tcPr>
          <w:p w:rsidR="007133C9" w:rsidRPr="006F33FC" w:rsidRDefault="007133C9" w:rsidP="00AD2972">
            <w:pPr>
              <w:autoSpaceDE w:val="0"/>
              <w:autoSpaceDN w:val="0"/>
              <w:adjustRightInd w:val="0"/>
              <w:rPr>
                <w:rFonts w:cs="Arial"/>
                <w:bCs w:val="0"/>
                <w:sz w:val="20"/>
              </w:rPr>
            </w:pPr>
            <w:r w:rsidRPr="006F33FC">
              <w:rPr>
                <w:rFonts w:cs="Arial"/>
                <w:bCs w:val="0"/>
                <w:sz w:val="20"/>
              </w:rPr>
              <w:t>What is measure</w:t>
            </w:r>
            <w:r w:rsidR="00A72168">
              <w:rPr>
                <w:rFonts w:cs="Arial"/>
                <w:bCs w:val="0"/>
                <w:sz w:val="20"/>
              </w:rPr>
              <w:t>d</w:t>
            </w:r>
          </w:p>
        </w:tc>
        <w:tc>
          <w:tcPr>
            <w:tcW w:w="3715" w:type="pct"/>
            <w:vAlign w:val="center"/>
          </w:tcPr>
          <w:p w:rsidR="00A72168" w:rsidRDefault="00A721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Sendai target: </w:t>
            </w:r>
            <w:r w:rsidR="007133C9">
              <w:rPr>
                <w:sz w:val="20"/>
              </w:rPr>
              <w:t xml:space="preserve">How many countries </w:t>
            </w:r>
            <w:r w:rsidR="007133C9" w:rsidRPr="00747AB9">
              <w:rPr>
                <w:sz w:val="20"/>
              </w:rPr>
              <w:t xml:space="preserve">have national and local </w:t>
            </w:r>
            <w:r>
              <w:rPr>
                <w:sz w:val="20"/>
              </w:rPr>
              <w:t xml:space="preserve">multisectoral strategies </w:t>
            </w:r>
            <w:r w:rsidR="00170F6F" w:rsidRPr="00170F6F">
              <w:rPr>
                <w:sz w:val="20"/>
              </w:rPr>
              <w:t>risk reduction</w:t>
            </w:r>
            <w:r w:rsidR="007133C9" w:rsidRPr="00747AB9">
              <w:rPr>
                <w:sz w:val="20"/>
              </w:rPr>
              <w:t xml:space="preserve"> strategies</w:t>
            </w:r>
            <w:r>
              <w:rPr>
                <w:sz w:val="20"/>
              </w:rPr>
              <w:t xml:space="preserve"> </w:t>
            </w:r>
            <w:r w:rsidR="00B90366">
              <w:rPr>
                <w:sz w:val="20"/>
              </w:rPr>
              <w:t xml:space="preserve">which include </w:t>
            </w:r>
            <w:r>
              <w:rPr>
                <w:sz w:val="20"/>
              </w:rPr>
              <w:t>health sector strategies</w:t>
            </w:r>
            <w:r w:rsidR="00B90366">
              <w:rPr>
                <w:sz w:val="20"/>
              </w:rPr>
              <w:t>, roles and actions</w:t>
            </w:r>
            <w:r>
              <w:rPr>
                <w:sz w:val="20"/>
              </w:rPr>
              <w:t>.</w:t>
            </w:r>
          </w:p>
          <w:p w:rsidR="007133C9" w:rsidRPr="006F33FC" w:rsidRDefault="00A721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color w:val="FFFFFF"/>
                <w:sz w:val="20"/>
              </w:rPr>
            </w:pPr>
            <w:r>
              <w:rPr>
                <w:sz w:val="20"/>
              </w:rPr>
              <w:t xml:space="preserve">Customisable: How many countries have national and local health </w:t>
            </w:r>
            <w:r w:rsidR="002C1AAA">
              <w:rPr>
                <w:sz w:val="20"/>
              </w:rPr>
              <w:t xml:space="preserve">EDRM </w:t>
            </w:r>
            <w:r>
              <w:rPr>
                <w:sz w:val="20"/>
              </w:rPr>
              <w:t xml:space="preserve">strategies </w:t>
            </w:r>
            <w:r w:rsidR="002C1AAA">
              <w:rPr>
                <w:sz w:val="20"/>
              </w:rPr>
              <w:t>that contribute to the</w:t>
            </w:r>
            <w:r>
              <w:rPr>
                <w:sz w:val="20"/>
              </w:rPr>
              <w:t xml:space="preserve"> implementation of the Sendai Framework </w:t>
            </w:r>
            <w:r>
              <w:rPr>
                <w:sz w:val="20"/>
              </w:rPr>
              <w:lastRenderedPageBreak/>
              <w:t>for Disaster Risk Reduction</w:t>
            </w:r>
            <w:r w:rsidR="002C1AAA">
              <w:rPr>
                <w:sz w:val="20"/>
              </w:rPr>
              <w:t xml:space="preserve"> and other related frameworks</w:t>
            </w:r>
          </w:p>
        </w:tc>
      </w:tr>
      <w:tr w:rsidR="00C41F50" w:rsidRPr="006F33FC" w:rsidTr="00454DA4">
        <w:trPr>
          <w:trHeight w:val="1807"/>
        </w:trPr>
        <w:tc>
          <w:tcPr>
            <w:cnfStyle w:val="001000000000" w:firstRow="0" w:lastRow="0" w:firstColumn="1" w:lastColumn="0" w:oddVBand="0" w:evenVBand="0" w:oddHBand="0" w:evenHBand="0" w:firstRowFirstColumn="0" w:firstRowLastColumn="0" w:lastRowFirstColumn="0" w:lastRowLastColumn="0"/>
            <w:tcW w:w="1285" w:type="pct"/>
            <w:vAlign w:val="center"/>
          </w:tcPr>
          <w:p w:rsidR="00C41F50" w:rsidRPr="00454DA4" w:rsidRDefault="00C41F50" w:rsidP="00454DA4">
            <w:pPr>
              <w:autoSpaceDE w:val="0"/>
              <w:autoSpaceDN w:val="0"/>
              <w:adjustRightInd w:val="0"/>
              <w:rPr>
                <w:rFonts w:cs="Arial"/>
                <w:sz w:val="20"/>
              </w:rPr>
            </w:pPr>
            <w:r w:rsidRPr="00454DA4">
              <w:rPr>
                <w:rFonts w:cs="Arial"/>
                <w:sz w:val="20"/>
              </w:rPr>
              <w:lastRenderedPageBreak/>
              <w:t>Key terms</w:t>
            </w:r>
          </w:p>
        </w:tc>
        <w:tc>
          <w:tcPr>
            <w:tcW w:w="3715" w:type="pct"/>
            <w:vAlign w:val="center"/>
          </w:tcPr>
          <w:p w:rsidR="00454DA4" w:rsidRPr="00454DA4" w:rsidRDefault="00C41F50" w:rsidP="00454DA4">
            <w:pPr>
              <w:pStyle w:val="ListParagraph"/>
              <w:numPr>
                <w:ilvl w:val="0"/>
                <w:numId w:val="31"/>
              </w:numPr>
              <w:autoSpaceDE w:val="0"/>
              <w:autoSpaceDN w:val="0"/>
              <w:adjustRightInd w:val="0"/>
              <w:ind w:left="319" w:hanging="284"/>
              <w:jc w:val="both"/>
              <w:cnfStyle w:val="000000000000" w:firstRow="0" w:lastRow="0" w:firstColumn="0" w:lastColumn="0" w:oddVBand="0" w:evenVBand="0" w:oddHBand="0" w:evenHBand="0" w:firstRowFirstColumn="0" w:firstRowLastColumn="0" w:lastRowFirstColumn="0" w:lastRowLastColumn="0"/>
              <w:rPr>
                <w:rFonts w:cs="Arial"/>
                <w:b/>
                <w:i/>
                <w:color w:val="000000"/>
                <w:sz w:val="20"/>
              </w:rPr>
            </w:pPr>
            <w:r w:rsidRPr="00454DA4">
              <w:rPr>
                <w:rFonts w:cs="Arial"/>
                <w:b/>
                <w:i/>
                <w:color w:val="000000"/>
                <w:sz w:val="20"/>
              </w:rPr>
              <w:t>Disaster risk reduction strategies</w:t>
            </w:r>
            <w:r w:rsidR="00454DA4">
              <w:rPr>
                <w:rFonts w:cs="Arial"/>
                <w:color w:val="000000"/>
                <w:sz w:val="20"/>
              </w:rPr>
              <w:t xml:space="preserve"> – d</w:t>
            </w:r>
            <w:r w:rsidR="00454DA4" w:rsidRPr="00454DA4">
              <w:rPr>
                <w:rFonts w:cs="Arial"/>
                <w:color w:val="000000"/>
                <w:sz w:val="20"/>
              </w:rPr>
              <w:t>efine goals and objectives across different timescales and with concrete targets, indicators and time frames aimed at preventing the creation of disaster risk, the reduction of existing risk and the strengthening of economic, social, health and environmental resilience</w:t>
            </w:r>
          </w:p>
          <w:p w:rsidR="00454DA4" w:rsidRDefault="00454DA4" w:rsidP="00454DA4">
            <w:pPr>
              <w:pStyle w:val="ListParagraph"/>
              <w:numPr>
                <w:ilvl w:val="0"/>
                <w:numId w:val="31"/>
              </w:numPr>
              <w:ind w:left="319" w:hanging="284"/>
              <w:cnfStyle w:val="000000000000" w:firstRow="0" w:lastRow="0" w:firstColumn="0" w:lastColumn="0" w:oddVBand="0" w:evenVBand="0" w:oddHBand="0" w:evenHBand="0" w:firstRowFirstColumn="0" w:firstRowLastColumn="0" w:lastRowFirstColumn="0" w:lastRowLastColumn="0"/>
              <w:rPr>
                <w:sz w:val="20"/>
              </w:rPr>
            </w:pPr>
            <w:r w:rsidRPr="00454DA4">
              <w:rPr>
                <w:b/>
                <w:i/>
                <w:sz w:val="20"/>
              </w:rPr>
              <w:t xml:space="preserve">National </w:t>
            </w:r>
            <w:r w:rsidRPr="00454DA4">
              <w:rPr>
                <w:sz w:val="20"/>
              </w:rPr>
              <w:t xml:space="preserve">– Ministry of health at the national level </w:t>
            </w:r>
          </w:p>
          <w:p w:rsidR="00C41F50" w:rsidRPr="00454DA4" w:rsidRDefault="00C41F50" w:rsidP="0067069C">
            <w:pPr>
              <w:pStyle w:val="ListParagraph"/>
              <w:numPr>
                <w:ilvl w:val="0"/>
                <w:numId w:val="31"/>
              </w:numPr>
              <w:ind w:left="319" w:hanging="284"/>
              <w:cnfStyle w:val="000000000000" w:firstRow="0" w:lastRow="0" w:firstColumn="0" w:lastColumn="0" w:oddVBand="0" w:evenVBand="0" w:oddHBand="0" w:evenHBand="0" w:firstRowFirstColumn="0" w:firstRowLastColumn="0" w:lastRowFirstColumn="0" w:lastRowLastColumn="0"/>
              <w:rPr>
                <w:sz w:val="20"/>
              </w:rPr>
            </w:pPr>
            <w:r w:rsidRPr="00454DA4">
              <w:rPr>
                <w:b/>
                <w:i/>
                <w:sz w:val="20"/>
              </w:rPr>
              <w:t>Local</w:t>
            </w:r>
            <w:r w:rsidR="00454DA4" w:rsidRPr="0067069C">
              <w:rPr>
                <w:b/>
                <w:i/>
                <w:sz w:val="20"/>
              </w:rPr>
              <w:t xml:space="preserve"> </w:t>
            </w:r>
            <w:r w:rsidR="00454DA4" w:rsidRPr="0067069C">
              <w:rPr>
                <w:bCs/>
                <w:iCs/>
                <w:sz w:val="20"/>
              </w:rPr>
              <w:t>– form of sub-national public administration</w:t>
            </w:r>
            <w:r w:rsidR="00490439" w:rsidRPr="0067069C">
              <w:rPr>
                <w:bCs/>
                <w:iCs/>
                <w:sz w:val="20"/>
              </w:rPr>
              <w:t xml:space="preserve"> </w:t>
            </w:r>
            <w:r w:rsidR="00454DA4" w:rsidRPr="0067069C">
              <w:rPr>
                <w:bCs/>
                <w:iCs/>
                <w:sz w:val="20"/>
              </w:rPr>
              <w:t>with responsibility for disaster risk reduction</w:t>
            </w:r>
            <w:r w:rsidR="0089749B" w:rsidRPr="0067069C">
              <w:rPr>
                <w:bCs/>
                <w:iCs/>
                <w:sz w:val="20"/>
              </w:rPr>
              <w:t xml:space="preserve"> </w:t>
            </w:r>
            <w:r w:rsidR="0032591D" w:rsidRPr="0067069C">
              <w:rPr>
                <w:bCs/>
                <w:iCs/>
                <w:sz w:val="20"/>
              </w:rPr>
              <w:t>(</w:t>
            </w:r>
            <w:r w:rsidR="009F6A04">
              <w:rPr>
                <w:bCs/>
                <w:iCs/>
                <w:sz w:val="20"/>
              </w:rPr>
              <w:t xml:space="preserve">health sector should align with local multisectoral strategies for the purpose of reporting </w:t>
            </w:r>
            <w:r w:rsidR="0032591D" w:rsidRPr="0067069C">
              <w:rPr>
                <w:bCs/>
                <w:iCs/>
                <w:sz w:val="20"/>
              </w:rPr>
              <w:t>)</w:t>
            </w:r>
          </w:p>
        </w:tc>
      </w:tr>
      <w:tr w:rsidR="007133C9" w:rsidRPr="006F33FC" w:rsidTr="00AD2972">
        <w:trPr>
          <w:trHeight w:val="270"/>
        </w:trPr>
        <w:tc>
          <w:tcPr>
            <w:cnfStyle w:val="001000000000" w:firstRow="0" w:lastRow="0" w:firstColumn="1" w:lastColumn="0" w:oddVBand="0" w:evenVBand="0" w:oddHBand="0" w:evenHBand="0" w:firstRowFirstColumn="0" w:firstRowLastColumn="0" w:lastRowFirstColumn="0" w:lastRowLastColumn="0"/>
            <w:tcW w:w="1285" w:type="pct"/>
            <w:vAlign w:val="center"/>
          </w:tcPr>
          <w:p w:rsidR="007133C9" w:rsidRPr="006F33FC" w:rsidRDefault="007133C9" w:rsidP="00AD2972">
            <w:pPr>
              <w:autoSpaceDE w:val="0"/>
              <w:autoSpaceDN w:val="0"/>
              <w:adjustRightInd w:val="0"/>
              <w:rPr>
                <w:rFonts w:cs="Arial"/>
                <w:bCs w:val="0"/>
                <w:sz w:val="20"/>
              </w:rPr>
            </w:pPr>
            <w:r w:rsidRPr="006F33FC">
              <w:rPr>
                <w:rFonts w:cs="Arial"/>
                <w:bCs w:val="0"/>
                <w:sz w:val="20"/>
              </w:rPr>
              <w:t xml:space="preserve">Health </w:t>
            </w:r>
            <w:r>
              <w:rPr>
                <w:rFonts w:cs="Arial"/>
                <w:bCs w:val="0"/>
                <w:sz w:val="20"/>
              </w:rPr>
              <w:t>input</w:t>
            </w:r>
            <w:r w:rsidRPr="006F33FC">
              <w:rPr>
                <w:rFonts w:cs="Arial"/>
                <w:bCs w:val="0"/>
                <w:sz w:val="20"/>
              </w:rPr>
              <w:t xml:space="preserve"> </w:t>
            </w:r>
          </w:p>
        </w:tc>
        <w:tc>
          <w:tcPr>
            <w:tcW w:w="3715" w:type="pct"/>
            <w:vAlign w:val="center"/>
          </w:tcPr>
          <w:p w:rsidR="007133C9" w:rsidRPr="00490439" w:rsidRDefault="009F6A04">
            <w:pPr>
              <w:pStyle w:val="ListParagraph"/>
              <w:numPr>
                <w:ilvl w:val="0"/>
                <w:numId w:val="34"/>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Ensure health is reflected as key outcome </w:t>
            </w:r>
            <w:r w:rsidR="002C1AAA">
              <w:rPr>
                <w:sz w:val="20"/>
              </w:rPr>
              <w:t>of</w:t>
            </w:r>
            <w:r>
              <w:rPr>
                <w:sz w:val="20"/>
              </w:rPr>
              <w:t xml:space="preserve"> local and national strategies. Inclusion of biological hazards</w:t>
            </w:r>
          </w:p>
          <w:p w:rsidR="00490439" w:rsidRPr="00490439" w:rsidRDefault="00490439">
            <w:pPr>
              <w:pStyle w:val="ListParagraph"/>
              <w:numPr>
                <w:ilvl w:val="0"/>
                <w:numId w:val="34"/>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sidRPr="00490439">
              <w:rPr>
                <w:sz w:val="20"/>
              </w:rPr>
              <w:t xml:space="preserve">Criteria for good action plan for disaster risk </w:t>
            </w:r>
            <w:r w:rsidR="009F6A04" w:rsidRPr="00490439">
              <w:rPr>
                <w:sz w:val="20"/>
              </w:rPr>
              <w:t>reduction</w:t>
            </w:r>
            <w:r w:rsidR="009F6A04">
              <w:rPr>
                <w:sz w:val="20"/>
              </w:rPr>
              <w:t xml:space="preserve"> include</w:t>
            </w:r>
            <w:r w:rsidR="002C1AAA">
              <w:rPr>
                <w:sz w:val="20"/>
              </w:rPr>
              <w:t>s</w:t>
            </w:r>
            <w:r w:rsidR="009F6A04">
              <w:rPr>
                <w:sz w:val="20"/>
              </w:rPr>
              <w:t xml:space="preserve"> the health sector strategies, roles and activities </w:t>
            </w:r>
          </w:p>
        </w:tc>
      </w:tr>
      <w:tr w:rsidR="007133C9" w:rsidRPr="006F33FC" w:rsidTr="00AD2972">
        <w:trPr>
          <w:trHeight w:val="615"/>
        </w:trPr>
        <w:tc>
          <w:tcPr>
            <w:cnfStyle w:val="001000000000" w:firstRow="0" w:lastRow="0" w:firstColumn="1" w:lastColumn="0" w:oddVBand="0" w:evenVBand="0" w:oddHBand="0" w:evenHBand="0" w:firstRowFirstColumn="0" w:firstRowLastColumn="0" w:lastRowFirstColumn="0" w:lastRowLastColumn="0"/>
            <w:tcW w:w="1285" w:type="pct"/>
            <w:vAlign w:val="center"/>
          </w:tcPr>
          <w:p w:rsidR="007133C9" w:rsidRPr="006F33FC" w:rsidRDefault="007133C9" w:rsidP="00AD2972">
            <w:pPr>
              <w:autoSpaceDE w:val="0"/>
              <w:autoSpaceDN w:val="0"/>
              <w:adjustRightInd w:val="0"/>
              <w:rPr>
                <w:rFonts w:cs="Arial"/>
                <w:bCs w:val="0"/>
                <w:sz w:val="20"/>
              </w:rPr>
            </w:pPr>
            <w:r>
              <w:rPr>
                <w:rFonts w:cs="Arial"/>
                <w:bCs w:val="0"/>
                <w:sz w:val="20"/>
              </w:rPr>
              <w:t xml:space="preserve">Who to engage with </w:t>
            </w:r>
          </w:p>
        </w:tc>
        <w:tc>
          <w:tcPr>
            <w:tcW w:w="3715" w:type="pct"/>
            <w:vAlign w:val="center"/>
          </w:tcPr>
          <w:p w:rsidR="00490439" w:rsidRDefault="0089749B" w:rsidP="00CB3FBF">
            <w:pPr>
              <w:numPr>
                <w:ilvl w:val="0"/>
                <w:numId w:val="6"/>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Ministry of health </w:t>
            </w:r>
          </w:p>
          <w:p w:rsidR="0089749B" w:rsidRDefault="00490439" w:rsidP="00CB3FBF">
            <w:pPr>
              <w:numPr>
                <w:ilvl w:val="0"/>
                <w:numId w:val="6"/>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Pr>
                <w:sz w:val="20"/>
              </w:rPr>
              <w:t>L</w:t>
            </w:r>
            <w:r w:rsidR="0089749B">
              <w:rPr>
                <w:sz w:val="20"/>
              </w:rPr>
              <w:t xml:space="preserve">ocal </w:t>
            </w:r>
            <w:r>
              <w:rPr>
                <w:sz w:val="20"/>
              </w:rPr>
              <w:t>government within</w:t>
            </w:r>
            <w:r w:rsidR="0089749B">
              <w:rPr>
                <w:sz w:val="20"/>
              </w:rPr>
              <w:t xml:space="preserve"> health sectors</w:t>
            </w:r>
          </w:p>
          <w:p w:rsidR="007133C9" w:rsidRPr="00747AB9" w:rsidRDefault="007133C9" w:rsidP="00CB3FBF">
            <w:pPr>
              <w:numPr>
                <w:ilvl w:val="0"/>
                <w:numId w:val="6"/>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sidRPr="00747AB9">
              <w:rPr>
                <w:sz w:val="20"/>
              </w:rPr>
              <w:t>National disaster management offices</w:t>
            </w:r>
          </w:p>
          <w:p w:rsidR="00C918AC" w:rsidRPr="00C918AC" w:rsidRDefault="007133C9" w:rsidP="00C918AC">
            <w:pPr>
              <w:numPr>
                <w:ilvl w:val="0"/>
                <w:numId w:val="6"/>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sidRPr="00747AB9">
              <w:rPr>
                <w:sz w:val="20"/>
              </w:rPr>
              <w:t>National focal point for Sendai Framework reporting</w:t>
            </w:r>
          </w:p>
        </w:tc>
      </w:tr>
      <w:tr w:rsidR="007133C9" w:rsidRPr="006F33FC" w:rsidTr="00AA605A">
        <w:trPr>
          <w:trHeight w:val="65"/>
        </w:trPr>
        <w:tc>
          <w:tcPr>
            <w:cnfStyle w:val="001000000000" w:firstRow="0" w:lastRow="0" w:firstColumn="1" w:lastColumn="0" w:oddVBand="0" w:evenVBand="0" w:oddHBand="0" w:evenHBand="0" w:firstRowFirstColumn="0" w:firstRowLastColumn="0" w:lastRowFirstColumn="0" w:lastRowLastColumn="0"/>
            <w:tcW w:w="1285" w:type="pct"/>
            <w:vMerge w:val="restart"/>
            <w:vAlign w:val="center"/>
          </w:tcPr>
          <w:p w:rsidR="007133C9" w:rsidRDefault="007133C9" w:rsidP="00AD2972">
            <w:pPr>
              <w:autoSpaceDE w:val="0"/>
              <w:autoSpaceDN w:val="0"/>
              <w:adjustRightInd w:val="0"/>
              <w:rPr>
                <w:rFonts w:cs="Arial"/>
                <w:bCs w:val="0"/>
                <w:sz w:val="20"/>
              </w:rPr>
            </w:pPr>
            <w:r>
              <w:rPr>
                <w:rFonts w:cs="Arial"/>
                <w:bCs w:val="0"/>
                <w:sz w:val="20"/>
              </w:rPr>
              <w:t xml:space="preserve">Indicator formula </w:t>
            </w:r>
          </w:p>
        </w:tc>
        <w:tc>
          <w:tcPr>
            <w:tcW w:w="3715" w:type="pct"/>
            <w:vAlign w:val="center"/>
          </w:tcPr>
          <w:p w:rsidR="007133C9" w:rsidRPr="00B8281A" w:rsidRDefault="00CE7E03" w:rsidP="00C918AC">
            <w:pPr>
              <w:ind w:left="460" w:hanging="460"/>
              <w:contextualSpacing/>
              <w:jc w:val="both"/>
              <w:cnfStyle w:val="000000000000" w:firstRow="0" w:lastRow="0" w:firstColumn="0" w:lastColumn="0" w:oddVBand="0" w:evenVBand="0" w:oddHBand="0" w:evenHBand="0" w:firstRowFirstColumn="0" w:firstRowLastColumn="0" w:lastRowFirstColumn="0" w:lastRowLastColumn="0"/>
              <w:rPr>
                <w:b/>
                <w:i/>
                <w:sz w:val="20"/>
              </w:rPr>
            </w:pPr>
            <w:r>
              <w:rPr>
                <w:b/>
                <w:i/>
                <w:sz w:val="20"/>
              </w:rPr>
              <w:t>E1 (</w:t>
            </w:r>
            <w:r w:rsidR="007133C9" w:rsidRPr="00B8281A">
              <w:rPr>
                <w:b/>
                <w:i/>
                <w:sz w:val="20"/>
              </w:rPr>
              <w:t xml:space="preserve">National </w:t>
            </w:r>
            <w:r w:rsidR="00B8281A" w:rsidRPr="00B8281A">
              <w:rPr>
                <w:b/>
                <w:i/>
                <w:sz w:val="20"/>
              </w:rPr>
              <w:t>disaster risk reduction</w:t>
            </w:r>
            <w:r w:rsidR="007133C9" w:rsidRPr="00B8281A">
              <w:rPr>
                <w:b/>
                <w:i/>
                <w:sz w:val="20"/>
              </w:rPr>
              <w:t xml:space="preserve"> plan</w:t>
            </w:r>
            <w:r>
              <w:rPr>
                <w:b/>
                <w:i/>
                <w:sz w:val="20"/>
              </w:rPr>
              <w:t>)</w:t>
            </w:r>
            <w:r w:rsidR="001F620D">
              <w:rPr>
                <w:b/>
                <w:i/>
                <w:sz w:val="20"/>
              </w:rPr>
              <w:t xml:space="preserve"> </w:t>
            </w:r>
          </w:p>
          <w:p w:rsidR="007133C9" w:rsidRDefault="007133C9" w:rsidP="00C918AC">
            <w:pPr>
              <w:ind w:left="35" w:hanging="35"/>
              <w:contextualSpacing/>
              <w:jc w:val="both"/>
              <w:cnfStyle w:val="000000000000" w:firstRow="0" w:lastRow="0" w:firstColumn="0" w:lastColumn="0" w:oddVBand="0" w:evenVBand="0" w:oddHBand="0" w:evenHBand="0" w:firstRowFirstColumn="0" w:firstRowLastColumn="0" w:lastRowFirstColumn="0" w:lastRowLastColumn="0"/>
              <w:rPr>
                <w:sz w:val="20"/>
              </w:rPr>
            </w:pPr>
            <w:r w:rsidRPr="00747AB9">
              <w:rPr>
                <w:sz w:val="20"/>
              </w:rPr>
              <w:t>[(a%/100) + (b%/100) + (c%/100) + (d%/100) + (e%/100) + (f%/100) + (g%/100) + (h%/100) + (</w:t>
            </w:r>
            <w:proofErr w:type="spellStart"/>
            <w:r w:rsidRPr="00747AB9">
              <w:rPr>
                <w:sz w:val="20"/>
              </w:rPr>
              <w:t>i</w:t>
            </w:r>
            <w:proofErr w:type="spellEnd"/>
            <w:r w:rsidRPr="00747AB9">
              <w:rPr>
                <w:sz w:val="20"/>
              </w:rPr>
              <w:t>%/100) + (j%/100)]*0.1</w:t>
            </w:r>
          </w:p>
          <w:tbl>
            <w:tblPr>
              <w:tblStyle w:val="TableGrid"/>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33"/>
              <w:gridCol w:w="5955"/>
            </w:tblGrid>
            <w:tr w:rsidR="00C918AC" w:rsidTr="00454DA4">
              <w:tc>
                <w:tcPr>
                  <w:tcW w:w="328" w:type="dxa"/>
                </w:tcPr>
                <w:p w:rsidR="00C918AC" w:rsidRDefault="00C918AC" w:rsidP="00C918AC">
                  <w:pPr>
                    <w:contextualSpacing/>
                    <w:jc w:val="both"/>
                    <w:rPr>
                      <w:sz w:val="20"/>
                    </w:rPr>
                  </w:pPr>
                  <w:r>
                    <w:rPr>
                      <w:sz w:val="20"/>
                    </w:rPr>
                    <w:t>a</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Have different timescales, with targets, indicators and time frames</w:t>
                  </w:r>
                </w:p>
              </w:tc>
            </w:tr>
            <w:tr w:rsidR="00C918AC" w:rsidTr="00454DA4">
              <w:tc>
                <w:tcPr>
                  <w:tcW w:w="328" w:type="dxa"/>
                </w:tcPr>
                <w:p w:rsidR="00C918AC" w:rsidRDefault="00C918AC" w:rsidP="00C918AC">
                  <w:pPr>
                    <w:contextualSpacing/>
                    <w:jc w:val="both"/>
                    <w:rPr>
                      <w:sz w:val="20"/>
                    </w:rPr>
                  </w:pPr>
                  <w:r>
                    <w:rPr>
                      <w:sz w:val="20"/>
                    </w:rPr>
                    <w:t>b</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Have aims at preventing the creation of risk</w:t>
                  </w:r>
                </w:p>
              </w:tc>
            </w:tr>
            <w:tr w:rsidR="00C918AC" w:rsidTr="00454DA4">
              <w:tc>
                <w:tcPr>
                  <w:tcW w:w="328" w:type="dxa"/>
                </w:tcPr>
                <w:p w:rsidR="00C918AC" w:rsidRDefault="00C918AC" w:rsidP="00C918AC">
                  <w:pPr>
                    <w:contextualSpacing/>
                    <w:jc w:val="both"/>
                    <w:rPr>
                      <w:sz w:val="20"/>
                    </w:rPr>
                  </w:pPr>
                  <w:r>
                    <w:rPr>
                      <w:sz w:val="20"/>
                    </w:rPr>
                    <w:t>c</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Have aims at reducing existing risk</w:t>
                  </w:r>
                </w:p>
              </w:tc>
            </w:tr>
            <w:tr w:rsidR="00C918AC" w:rsidTr="00454DA4">
              <w:tc>
                <w:tcPr>
                  <w:tcW w:w="328" w:type="dxa"/>
                </w:tcPr>
                <w:p w:rsidR="00C918AC" w:rsidRDefault="00C918AC" w:rsidP="00C918AC">
                  <w:pPr>
                    <w:contextualSpacing/>
                    <w:jc w:val="both"/>
                    <w:rPr>
                      <w:sz w:val="20"/>
                    </w:rPr>
                  </w:pPr>
                  <w:r>
                    <w:rPr>
                      <w:sz w:val="20"/>
                    </w:rPr>
                    <w:t>d</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Have aims at strengthening economic, social, health and environmental resilience</w:t>
                  </w:r>
                </w:p>
              </w:tc>
            </w:tr>
            <w:tr w:rsidR="00C918AC" w:rsidTr="00454DA4">
              <w:tc>
                <w:tcPr>
                  <w:tcW w:w="328" w:type="dxa"/>
                </w:tcPr>
                <w:p w:rsidR="00C918AC" w:rsidRDefault="00C918AC" w:rsidP="00C918AC">
                  <w:pPr>
                    <w:contextualSpacing/>
                    <w:jc w:val="both"/>
                    <w:rPr>
                      <w:sz w:val="20"/>
                    </w:rPr>
                  </w:pPr>
                  <w:r>
                    <w:rPr>
                      <w:sz w:val="20"/>
                    </w:rPr>
                    <w:t>e</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Address the recommendations of Priority 1, Understanding disaster risk: Based on risk knowledge and assessments to identify risks at the local and national levels of the technical, financial and administrative disaster risk management capacity</w:t>
                  </w:r>
                </w:p>
              </w:tc>
            </w:tr>
            <w:tr w:rsidR="00C918AC" w:rsidTr="00454DA4">
              <w:tc>
                <w:tcPr>
                  <w:tcW w:w="328" w:type="dxa"/>
                </w:tcPr>
                <w:p w:rsidR="00C918AC" w:rsidRDefault="00C918AC" w:rsidP="00C918AC">
                  <w:pPr>
                    <w:contextualSpacing/>
                    <w:jc w:val="both"/>
                    <w:rPr>
                      <w:sz w:val="20"/>
                    </w:rPr>
                  </w:pPr>
                  <w:r>
                    <w:rPr>
                      <w:sz w:val="20"/>
                    </w:rPr>
                    <w:t>f</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Address the recommendations of Priority 2, Strengthening disaster risk governance to manage disaster risk: Mainstream and integrate DRR within and across all sectors with defining roles and responsibilities</w:t>
                  </w:r>
                </w:p>
              </w:tc>
            </w:tr>
            <w:tr w:rsidR="00C918AC" w:rsidTr="00454DA4">
              <w:tc>
                <w:tcPr>
                  <w:tcW w:w="328" w:type="dxa"/>
                </w:tcPr>
                <w:p w:rsidR="00C918AC" w:rsidRDefault="00C918AC" w:rsidP="00C918AC">
                  <w:pPr>
                    <w:contextualSpacing/>
                    <w:jc w:val="both"/>
                    <w:rPr>
                      <w:sz w:val="20"/>
                    </w:rPr>
                  </w:pPr>
                  <w:r>
                    <w:rPr>
                      <w:sz w:val="20"/>
                    </w:rPr>
                    <w:t>g</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 xml:space="preserve">Address the recommendations of Priority 3, Investing in disaster risk reduction for resilience: Guide to allocation of the necessary resources at all levels of administration for the development and the implementation of </w:t>
                  </w:r>
                  <w:r>
                    <w:rPr>
                      <w:sz w:val="20"/>
                    </w:rPr>
                    <w:t>disaster risk reduction</w:t>
                  </w:r>
                  <w:r w:rsidRPr="00747AB9">
                    <w:rPr>
                      <w:sz w:val="20"/>
                    </w:rPr>
                    <w:t xml:space="preserve"> strategies in all relevant sectors</w:t>
                  </w:r>
                </w:p>
              </w:tc>
            </w:tr>
            <w:tr w:rsidR="00C918AC" w:rsidTr="00454DA4">
              <w:tc>
                <w:tcPr>
                  <w:tcW w:w="328" w:type="dxa"/>
                </w:tcPr>
                <w:p w:rsidR="00C918AC" w:rsidRDefault="00C918AC" w:rsidP="00C918AC">
                  <w:pPr>
                    <w:contextualSpacing/>
                    <w:jc w:val="both"/>
                    <w:rPr>
                      <w:sz w:val="20"/>
                    </w:rPr>
                  </w:pPr>
                  <w:r>
                    <w:rPr>
                      <w:sz w:val="20"/>
                    </w:rPr>
                    <w:t>h</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 xml:space="preserve">Address the recommendations of Priority 4, Enhancing disaster preparedness for effective response and to “Build Back Better” in recovery, rehabilitation and reconstruction: Strengthen disaster preparedness for response and integrate </w:t>
                  </w:r>
                  <w:r>
                    <w:rPr>
                      <w:sz w:val="20"/>
                    </w:rPr>
                    <w:t>disaster risk reduction</w:t>
                  </w:r>
                  <w:r w:rsidRPr="00747AB9">
                    <w:rPr>
                      <w:sz w:val="20"/>
                    </w:rPr>
                    <w:t xml:space="preserve"> response preparedness and development measures to make nations and communities resilient to disasters</w:t>
                  </w:r>
                </w:p>
              </w:tc>
            </w:tr>
            <w:tr w:rsidR="00C918AC" w:rsidTr="00C918AC">
              <w:tc>
                <w:tcPr>
                  <w:tcW w:w="328" w:type="dxa"/>
                </w:tcPr>
                <w:p w:rsidR="00C918AC" w:rsidRDefault="00C918AC" w:rsidP="00C918AC">
                  <w:pPr>
                    <w:contextualSpacing/>
                    <w:jc w:val="both"/>
                    <w:rPr>
                      <w:sz w:val="20"/>
                    </w:rPr>
                  </w:pPr>
                  <w:proofErr w:type="spellStart"/>
                  <w:r>
                    <w:rPr>
                      <w:sz w:val="20"/>
                    </w:rPr>
                    <w:t>i</w:t>
                  </w:r>
                  <w:proofErr w:type="spellEnd"/>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Promote policy coherence relevant to disaster risk reduction such as sustainable development, poverty eradication, and climate change, notably with the SDGs the Paris Agreement</w:t>
                  </w:r>
                </w:p>
              </w:tc>
            </w:tr>
            <w:tr w:rsidR="00C918AC" w:rsidTr="00C918AC">
              <w:tc>
                <w:tcPr>
                  <w:tcW w:w="328" w:type="dxa"/>
                </w:tcPr>
                <w:p w:rsidR="00C918AC" w:rsidRDefault="00C918AC" w:rsidP="00C918AC">
                  <w:pPr>
                    <w:contextualSpacing/>
                    <w:jc w:val="both"/>
                    <w:rPr>
                      <w:sz w:val="20"/>
                    </w:rPr>
                  </w:pPr>
                  <w:r>
                    <w:rPr>
                      <w:sz w:val="20"/>
                    </w:rPr>
                    <w:t>j</w:t>
                  </w:r>
                </w:p>
              </w:tc>
              <w:tc>
                <w:tcPr>
                  <w:tcW w:w="236" w:type="dxa"/>
                </w:tcPr>
                <w:p w:rsidR="00C918AC" w:rsidRDefault="00C918AC" w:rsidP="00C918AC">
                  <w:pPr>
                    <w:contextualSpacing/>
                    <w:jc w:val="both"/>
                    <w:rPr>
                      <w:sz w:val="20"/>
                    </w:rPr>
                  </w:pPr>
                  <w:r>
                    <w:rPr>
                      <w:sz w:val="20"/>
                    </w:rPr>
                    <w:t>=</w:t>
                  </w:r>
                </w:p>
              </w:tc>
              <w:tc>
                <w:tcPr>
                  <w:tcW w:w="6042" w:type="dxa"/>
                </w:tcPr>
                <w:p w:rsidR="00C918AC" w:rsidRDefault="00C918AC" w:rsidP="00C918AC">
                  <w:pPr>
                    <w:contextualSpacing/>
                    <w:jc w:val="both"/>
                    <w:rPr>
                      <w:sz w:val="20"/>
                    </w:rPr>
                  </w:pPr>
                  <w:r w:rsidRPr="00747AB9">
                    <w:rPr>
                      <w:sz w:val="20"/>
                    </w:rPr>
                    <w:t>Have mechanisms to follow-up, periodically assess and publicly report on progress.</w:t>
                  </w:r>
                </w:p>
              </w:tc>
            </w:tr>
          </w:tbl>
          <w:p w:rsidR="007133C9" w:rsidRPr="00747AB9" w:rsidRDefault="007133C9" w:rsidP="00C918AC">
            <w:pPr>
              <w:ind w:right="95"/>
              <w:contextualSpacing/>
              <w:cnfStyle w:val="000000000000" w:firstRow="0" w:lastRow="0" w:firstColumn="0" w:lastColumn="0" w:oddVBand="0" w:evenVBand="0" w:oddHBand="0" w:evenHBand="0" w:firstRowFirstColumn="0" w:firstRowLastColumn="0" w:lastRowFirstColumn="0" w:lastRowLastColumn="0"/>
              <w:rPr>
                <w:sz w:val="20"/>
              </w:rPr>
            </w:pPr>
          </w:p>
        </w:tc>
      </w:tr>
      <w:tr w:rsidR="007133C9" w:rsidRPr="006F33FC" w:rsidTr="00B8281A">
        <w:trPr>
          <w:trHeight w:val="987"/>
        </w:trPr>
        <w:tc>
          <w:tcPr>
            <w:cnfStyle w:val="001000000000" w:firstRow="0" w:lastRow="0" w:firstColumn="1" w:lastColumn="0" w:oddVBand="0" w:evenVBand="0" w:oddHBand="0" w:evenHBand="0" w:firstRowFirstColumn="0" w:firstRowLastColumn="0" w:lastRowFirstColumn="0" w:lastRowLastColumn="0"/>
            <w:tcW w:w="1285" w:type="pct"/>
            <w:vMerge/>
            <w:vAlign w:val="center"/>
          </w:tcPr>
          <w:p w:rsidR="007133C9" w:rsidRDefault="007133C9" w:rsidP="00AD2972">
            <w:pPr>
              <w:autoSpaceDE w:val="0"/>
              <w:autoSpaceDN w:val="0"/>
              <w:adjustRightInd w:val="0"/>
              <w:rPr>
                <w:rFonts w:cs="Arial"/>
                <w:bCs w:val="0"/>
                <w:sz w:val="20"/>
              </w:rPr>
            </w:pPr>
          </w:p>
        </w:tc>
        <w:tc>
          <w:tcPr>
            <w:tcW w:w="3715" w:type="pct"/>
            <w:vAlign w:val="center"/>
          </w:tcPr>
          <w:p w:rsidR="007133C9" w:rsidRPr="00B8281A" w:rsidRDefault="00CE7E03" w:rsidP="00CB3FBF">
            <w:pPr>
              <w:contextualSpacing/>
              <w:jc w:val="both"/>
              <w:cnfStyle w:val="000000000000" w:firstRow="0" w:lastRow="0" w:firstColumn="0" w:lastColumn="0" w:oddVBand="0" w:evenVBand="0" w:oddHBand="0" w:evenHBand="0" w:firstRowFirstColumn="0" w:firstRowLastColumn="0" w:lastRowFirstColumn="0" w:lastRowLastColumn="0"/>
              <w:rPr>
                <w:b/>
                <w:i/>
                <w:sz w:val="20"/>
              </w:rPr>
            </w:pPr>
            <w:r>
              <w:rPr>
                <w:b/>
                <w:i/>
                <w:sz w:val="20"/>
              </w:rPr>
              <w:t>E2 (</w:t>
            </w:r>
            <w:r w:rsidR="007133C9" w:rsidRPr="00B8281A">
              <w:rPr>
                <w:b/>
                <w:i/>
                <w:sz w:val="20"/>
              </w:rPr>
              <w:t xml:space="preserve">Local </w:t>
            </w:r>
            <w:r w:rsidR="00B8281A" w:rsidRPr="00B8281A">
              <w:rPr>
                <w:b/>
                <w:i/>
                <w:sz w:val="20"/>
              </w:rPr>
              <w:t>disaster risk reduction</w:t>
            </w:r>
            <w:r w:rsidR="007133C9" w:rsidRPr="00B8281A">
              <w:rPr>
                <w:b/>
                <w:i/>
                <w:sz w:val="20"/>
              </w:rPr>
              <w:t xml:space="preserve"> plan</w:t>
            </w:r>
            <w:r>
              <w:rPr>
                <w:b/>
                <w:i/>
                <w:sz w:val="20"/>
              </w:rPr>
              <w:t>)</w:t>
            </w:r>
          </w:p>
          <w:tbl>
            <w:tblPr>
              <w:tblStyle w:val="TableGrid"/>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333"/>
              <w:gridCol w:w="5689"/>
            </w:tblGrid>
            <w:tr w:rsidR="00490439" w:rsidTr="00490439">
              <w:tc>
                <w:tcPr>
                  <w:tcW w:w="383" w:type="dxa"/>
                </w:tcPr>
                <w:p w:rsidR="00490439" w:rsidRDefault="007133C9" w:rsidP="00AD2972">
                  <w:pPr>
                    <w:contextualSpacing/>
                    <w:jc w:val="both"/>
                    <w:rPr>
                      <w:sz w:val="20"/>
                    </w:rPr>
                  </w:pPr>
                  <w:r w:rsidRPr="00747AB9">
                    <w:rPr>
                      <w:sz w:val="20"/>
                    </w:rPr>
                    <w:t>l/m</w:t>
                  </w:r>
                  <w:r w:rsidR="00490439">
                    <w:rPr>
                      <w:sz w:val="20"/>
                    </w:rPr>
                    <w:t>L</w:t>
                  </w:r>
                </w:p>
              </w:tc>
              <w:tc>
                <w:tcPr>
                  <w:tcW w:w="333" w:type="dxa"/>
                </w:tcPr>
                <w:p w:rsidR="00490439" w:rsidRDefault="00490439" w:rsidP="00AD2972">
                  <w:pPr>
                    <w:contextualSpacing/>
                    <w:jc w:val="both"/>
                    <w:rPr>
                      <w:sz w:val="20"/>
                    </w:rPr>
                  </w:pPr>
                  <w:r>
                    <w:rPr>
                      <w:sz w:val="20"/>
                    </w:rPr>
                    <w:t>=</w:t>
                  </w:r>
                </w:p>
              </w:tc>
              <w:tc>
                <w:tcPr>
                  <w:tcW w:w="5890" w:type="dxa"/>
                </w:tcPr>
                <w:p w:rsidR="00490439" w:rsidRDefault="00490439" w:rsidP="00AD2972">
                  <w:pPr>
                    <w:contextualSpacing/>
                    <w:jc w:val="both"/>
                    <w:rPr>
                      <w:sz w:val="20"/>
                    </w:rPr>
                  </w:pPr>
                  <w:r w:rsidRPr="00747AB9">
                    <w:rPr>
                      <w:sz w:val="20"/>
                    </w:rPr>
                    <w:t>number of local governments adopting</w:t>
                  </w:r>
                </w:p>
              </w:tc>
            </w:tr>
            <w:tr w:rsidR="00490439" w:rsidTr="00490439">
              <w:tc>
                <w:tcPr>
                  <w:tcW w:w="383" w:type="dxa"/>
                </w:tcPr>
                <w:p w:rsidR="00490439" w:rsidRDefault="00490439" w:rsidP="00AD2972">
                  <w:pPr>
                    <w:contextualSpacing/>
                    <w:jc w:val="both"/>
                    <w:rPr>
                      <w:sz w:val="20"/>
                    </w:rPr>
                  </w:pPr>
                  <w:r>
                    <w:rPr>
                      <w:sz w:val="20"/>
                    </w:rPr>
                    <w:t>m</w:t>
                  </w:r>
                </w:p>
              </w:tc>
              <w:tc>
                <w:tcPr>
                  <w:tcW w:w="333" w:type="dxa"/>
                </w:tcPr>
                <w:p w:rsidR="00490439" w:rsidRDefault="00490439" w:rsidP="00AD2972">
                  <w:pPr>
                    <w:contextualSpacing/>
                    <w:jc w:val="both"/>
                    <w:rPr>
                      <w:sz w:val="20"/>
                    </w:rPr>
                  </w:pPr>
                  <w:r>
                    <w:rPr>
                      <w:sz w:val="20"/>
                    </w:rPr>
                    <w:t>=</w:t>
                  </w:r>
                </w:p>
              </w:tc>
              <w:tc>
                <w:tcPr>
                  <w:tcW w:w="5890" w:type="dxa"/>
                </w:tcPr>
                <w:p w:rsidR="00490439" w:rsidRDefault="00490439" w:rsidP="00AD2972">
                  <w:pPr>
                    <w:contextualSpacing/>
                    <w:jc w:val="both"/>
                    <w:rPr>
                      <w:sz w:val="20"/>
                    </w:rPr>
                  </w:pPr>
                  <w:r w:rsidRPr="00747AB9">
                    <w:rPr>
                      <w:sz w:val="20"/>
                    </w:rPr>
                    <w:t>total number of local governments</w:t>
                  </w:r>
                </w:p>
              </w:tc>
            </w:tr>
          </w:tbl>
          <w:p w:rsidR="00490439" w:rsidRPr="009F5446" w:rsidRDefault="00490439" w:rsidP="00CB3FBF">
            <w:pPr>
              <w:contextualSpacing/>
              <w:jc w:val="both"/>
              <w:cnfStyle w:val="000000000000" w:firstRow="0" w:lastRow="0" w:firstColumn="0" w:lastColumn="0" w:oddVBand="0" w:evenVBand="0" w:oddHBand="0" w:evenHBand="0" w:firstRowFirstColumn="0" w:firstRowLastColumn="0" w:lastRowFirstColumn="0" w:lastRowLastColumn="0"/>
              <w:rPr>
                <w:sz w:val="20"/>
              </w:rPr>
            </w:pPr>
          </w:p>
        </w:tc>
      </w:tr>
      <w:tr w:rsidR="007133C9" w:rsidRPr="006F33FC" w:rsidTr="00AD2972">
        <w:trPr>
          <w:trHeight w:val="615"/>
        </w:trPr>
        <w:tc>
          <w:tcPr>
            <w:cnfStyle w:val="001000000000" w:firstRow="0" w:lastRow="0" w:firstColumn="1" w:lastColumn="0" w:oddVBand="0" w:evenVBand="0" w:oddHBand="0" w:evenHBand="0" w:firstRowFirstColumn="0" w:firstRowLastColumn="0" w:lastRowFirstColumn="0" w:lastRowLastColumn="0"/>
            <w:tcW w:w="1285" w:type="pct"/>
            <w:vAlign w:val="center"/>
          </w:tcPr>
          <w:p w:rsidR="007133C9" w:rsidRDefault="007133C9" w:rsidP="00AD2972">
            <w:pPr>
              <w:autoSpaceDE w:val="0"/>
              <w:autoSpaceDN w:val="0"/>
              <w:adjustRightInd w:val="0"/>
              <w:rPr>
                <w:rFonts w:cs="Arial"/>
                <w:bCs w:val="0"/>
                <w:sz w:val="20"/>
              </w:rPr>
            </w:pPr>
            <w:r>
              <w:rPr>
                <w:rFonts w:cs="Arial"/>
                <w:bCs w:val="0"/>
                <w:sz w:val="20"/>
              </w:rPr>
              <w:t>Indicator Components</w:t>
            </w:r>
          </w:p>
        </w:tc>
        <w:tc>
          <w:tcPr>
            <w:tcW w:w="3715" w:type="pct"/>
            <w:vAlign w:val="center"/>
          </w:tcPr>
          <w:p w:rsidR="00532A4C" w:rsidRDefault="00532A4C" w:rsidP="00532A4C">
            <w:pPr>
              <w:pStyle w:val="ListParagraph"/>
              <w:numPr>
                <w:ilvl w:val="0"/>
                <w:numId w:val="33"/>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sidRPr="00532A4C">
              <w:rPr>
                <w:sz w:val="20"/>
              </w:rPr>
              <w:t>T</w:t>
            </w:r>
            <w:r w:rsidR="007F5652" w:rsidRPr="00532A4C">
              <w:rPr>
                <w:sz w:val="20"/>
              </w:rPr>
              <w:t xml:space="preserve">he computation methodologies for E-1 (National Strategies) and E-2 (Local Strategies) to monitor gradual progress at global and national as well as local levels, and quality improvement in national disaster risk reduction strategies over time. </w:t>
            </w:r>
          </w:p>
          <w:p w:rsidR="00532A4C" w:rsidRDefault="00532A4C" w:rsidP="00532A4C">
            <w:pPr>
              <w:pStyle w:val="ListParagraph"/>
              <w:numPr>
                <w:ilvl w:val="0"/>
                <w:numId w:val="33"/>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sidRPr="00532A4C">
              <w:rPr>
                <w:sz w:val="20"/>
              </w:rPr>
              <w:lastRenderedPageBreak/>
              <w:t xml:space="preserve">Quantitative indicators for national and local disaster risk reduction strategies including the key elements of a strategy, and to be weighted equally by assigning 10% (or 0.1) to each element. </w:t>
            </w:r>
          </w:p>
          <w:p w:rsidR="00532A4C" w:rsidRPr="00532A4C" w:rsidRDefault="00532A4C" w:rsidP="00532A4C">
            <w:pPr>
              <w:pStyle w:val="ListParagraph"/>
              <w:numPr>
                <w:ilvl w:val="0"/>
                <w:numId w:val="33"/>
              </w:numPr>
              <w:ind w:left="319" w:hanging="284"/>
              <w:jc w:val="both"/>
              <w:cnfStyle w:val="000000000000" w:firstRow="0" w:lastRow="0" w:firstColumn="0" w:lastColumn="0" w:oddVBand="0" w:evenVBand="0" w:oddHBand="0" w:evenHBand="0" w:firstRowFirstColumn="0" w:firstRowLastColumn="0" w:lastRowFirstColumn="0" w:lastRowLastColumn="0"/>
              <w:rPr>
                <w:sz w:val="20"/>
              </w:rPr>
            </w:pPr>
            <w:r>
              <w:rPr>
                <w:sz w:val="20"/>
              </w:rPr>
              <w:t>For E1</w:t>
            </w:r>
            <w:r w:rsidRPr="00532A4C">
              <w:rPr>
                <w:sz w:val="20"/>
              </w:rPr>
              <w:t>, it is recommended that progress in each indicator is benchmarked acco</w:t>
            </w:r>
            <w:r>
              <w:rPr>
                <w:sz w:val="20"/>
              </w:rPr>
              <w:t>rding to the following weighting</w:t>
            </w:r>
            <w:r>
              <w:rPr>
                <w:rStyle w:val="FootnoteReference"/>
                <w:sz w:val="20"/>
              </w:rPr>
              <w:footnoteReference w:id="3"/>
            </w:r>
          </w:p>
          <w:p w:rsidR="00532A4C" w:rsidRPr="00532A4C" w:rsidRDefault="00532A4C" w:rsidP="00532A4C">
            <w:pPr>
              <w:pStyle w:val="ListParagraph"/>
              <w:numPr>
                <w:ilvl w:val="0"/>
                <w:numId w:val="36"/>
              </w:numPr>
              <w:ind w:left="602" w:hanging="283"/>
              <w:jc w:val="both"/>
              <w:cnfStyle w:val="000000000000" w:firstRow="0" w:lastRow="0" w:firstColumn="0" w:lastColumn="0" w:oddVBand="0" w:evenVBand="0" w:oddHBand="0" w:evenHBand="0" w:firstRowFirstColumn="0" w:firstRowLastColumn="0" w:lastRowFirstColumn="0" w:lastRowLastColumn="0"/>
              <w:rPr>
                <w:sz w:val="20"/>
              </w:rPr>
            </w:pPr>
            <w:r w:rsidRPr="00532A4C">
              <w:rPr>
                <w:sz w:val="20"/>
              </w:rPr>
              <w:t>Comprehensive implementation (full score) : 1.0,</w:t>
            </w:r>
          </w:p>
          <w:p w:rsidR="00532A4C" w:rsidRDefault="00532A4C" w:rsidP="00532A4C">
            <w:pPr>
              <w:pStyle w:val="ListParagraph"/>
              <w:numPr>
                <w:ilvl w:val="0"/>
                <w:numId w:val="36"/>
              </w:numPr>
              <w:ind w:left="602" w:hanging="283"/>
              <w:jc w:val="both"/>
              <w:cnfStyle w:val="000000000000" w:firstRow="0" w:lastRow="0" w:firstColumn="0" w:lastColumn="0" w:oddVBand="0" w:evenVBand="0" w:oddHBand="0" w:evenHBand="0" w:firstRowFirstColumn="0" w:firstRowLastColumn="0" w:lastRowFirstColumn="0" w:lastRowLastColumn="0"/>
              <w:rPr>
                <w:sz w:val="20"/>
              </w:rPr>
            </w:pPr>
            <w:r w:rsidRPr="00532A4C">
              <w:rPr>
                <w:sz w:val="20"/>
              </w:rPr>
              <w:t>Substantial implementation, additional progress required : 0.75,</w:t>
            </w:r>
          </w:p>
          <w:p w:rsidR="00532A4C" w:rsidRDefault="00532A4C" w:rsidP="00532A4C">
            <w:pPr>
              <w:pStyle w:val="ListParagraph"/>
              <w:numPr>
                <w:ilvl w:val="0"/>
                <w:numId w:val="36"/>
              </w:numPr>
              <w:ind w:left="602" w:hanging="283"/>
              <w:jc w:val="both"/>
              <w:cnfStyle w:val="000000000000" w:firstRow="0" w:lastRow="0" w:firstColumn="0" w:lastColumn="0" w:oddVBand="0" w:evenVBand="0" w:oddHBand="0" w:evenHBand="0" w:firstRowFirstColumn="0" w:firstRowLastColumn="0" w:lastRowFirstColumn="0" w:lastRowLastColumn="0"/>
              <w:rPr>
                <w:sz w:val="20"/>
              </w:rPr>
            </w:pPr>
            <w:r w:rsidRPr="00532A4C">
              <w:rPr>
                <w:sz w:val="20"/>
              </w:rPr>
              <w:t>Moderate implementation, neither comprehensive nor substantial : 0.50,</w:t>
            </w:r>
          </w:p>
          <w:p w:rsidR="00532A4C" w:rsidRDefault="00532A4C" w:rsidP="00532A4C">
            <w:pPr>
              <w:pStyle w:val="ListParagraph"/>
              <w:numPr>
                <w:ilvl w:val="0"/>
                <w:numId w:val="36"/>
              </w:numPr>
              <w:ind w:left="602" w:hanging="283"/>
              <w:jc w:val="both"/>
              <w:cnfStyle w:val="000000000000" w:firstRow="0" w:lastRow="0" w:firstColumn="0" w:lastColumn="0" w:oddVBand="0" w:evenVBand="0" w:oddHBand="0" w:evenHBand="0" w:firstRowFirstColumn="0" w:firstRowLastColumn="0" w:lastRowFirstColumn="0" w:lastRowLastColumn="0"/>
              <w:rPr>
                <w:sz w:val="20"/>
              </w:rPr>
            </w:pPr>
            <w:r w:rsidRPr="00532A4C">
              <w:rPr>
                <w:sz w:val="20"/>
              </w:rPr>
              <w:t>Limited implementation : 0.25,</w:t>
            </w:r>
          </w:p>
          <w:p w:rsidR="00532A4C" w:rsidRPr="00532A4C" w:rsidRDefault="00532A4C" w:rsidP="00532A4C">
            <w:pPr>
              <w:pStyle w:val="ListParagraph"/>
              <w:numPr>
                <w:ilvl w:val="0"/>
                <w:numId w:val="36"/>
              </w:numPr>
              <w:ind w:left="602" w:hanging="283"/>
              <w:jc w:val="both"/>
              <w:cnfStyle w:val="000000000000" w:firstRow="0" w:lastRow="0" w:firstColumn="0" w:lastColumn="0" w:oddVBand="0" w:evenVBand="0" w:oddHBand="0" w:evenHBand="0" w:firstRowFirstColumn="0" w:firstRowLastColumn="0" w:lastRowFirstColumn="0" w:lastRowLastColumn="0"/>
              <w:rPr>
                <w:sz w:val="20"/>
              </w:rPr>
            </w:pPr>
            <w:r w:rsidRPr="00532A4C">
              <w:rPr>
                <w:sz w:val="20"/>
              </w:rPr>
              <w:t>If there is no implementation or no existence, it will be 0.</w:t>
            </w:r>
          </w:p>
        </w:tc>
      </w:tr>
      <w:tr w:rsidR="007133C9" w:rsidRPr="006F33FC" w:rsidTr="00AD2972">
        <w:trPr>
          <w:trHeight w:val="615"/>
        </w:trPr>
        <w:tc>
          <w:tcPr>
            <w:cnfStyle w:val="001000000000" w:firstRow="0" w:lastRow="0" w:firstColumn="1" w:lastColumn="0" w:oddVBand="0" w:evenVBand="0" w:oddHBand="0" w:evenHBand="0" w:firstRowFirstColumn="0" w:firstRowLastColumn="0" w:lastRowFirstColumn="0" w:lastRowLastColumn="0"/>
            <w:tcW w:w="1285" w:type="pct"/>
            <w:vAlign w:val="center"/>
          </w:tcPr>
          <w:p w:rsidR="007133C9" w:rsidRDefault="007133C9" w:rsidP="00AD2972">
            <w:pPr>
              <w:autoSpaceDE w:val="0"/>
              <w:autoSpaceDN w:val="0"/>
              <w:adjustRightInd w:val="0"/>
              <w:rPr>
                <w:rFonts w:cs="Arial"/>
                <w:bCs w:val="0"/>
                <w:sz w:val="20"/>
              </w:rPr>
            </w:pPr>
            <w:r>
              <w:rPr>
                <w:rFonts w:cs="Arial"/>
                <w:bCs w:val="0"/>
                <w:sz w:val="20"/>
              </w:rPr>
              <w:lastRenderedPageBreak/>
              <w:t>Represented population</w:t>
            </w:r>
          </w:p>
        </w:tc>
        <w:tc>
          <w:tcPr>
            <w:tcW w:w="3715" w:type="pct"/>
            <w:vAlign w:val="center"/>
          </w:tcPr>
          <w:p w:rsidR="007133C9" w:rsidRPr="00AC70C3" w:rsidRDefault="00ED3312">
            <w:pPr>
              <w:contextualSpacing/>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Ensure </w:t>
            </w:r>
            <w:r w:rsidRPr="00ED3312">
              <w:rPr>
                <w:sz w:val="20"/>
              </w:rPr>
              <w:t>a multi-sectoral people-centred approach</w:t>
            </w:r>
            <w:r>
              <w:rPr>
                <w:sz w:val="20"/>
              </w:rPr>
              <w:t xml:space="preserve"> by focussing on</w:t>
            </w:r>
            <w:r w:rsidR="002C1AAA">
              <w:rPr>
                <w:sz w:val="20"/>
              </w:rPr>
              <w:t xml:space="preserve"> </w:t>
            </w:r>
            <w:r w:rsidRPr="00ED3312">
              <w:rPr>
                <w:sz w:val="20"/>
              </w:rPr>
              <w:t>the</w:t>
            </w:r>
            <w:r w:rsidR="00490439">
              <w:rPr>
                <w:sz w:val="20"/>
              </w:rPr>
              <w:t xml:space="preserve"> </w:t>
            </w:r>
            <w:r w:rsidRPr="00ED3312">
              <w:rPr>
                <w:sz w:val="20"/>
              </w:rPr>
              <w:t xml:space="preserve">prevalence of local </w:t>
            </w:r>
            <w:r w:rsidR="00B8281A">
              <w:rPr>
                <w:sz w:val="20"/>
              </w:rPr>
              <w:t>disaster risk reduction</w:t>
            </w:r>
            <w:r w:rsidRPr="00ED3312">
              <w:rPr>
                <w:sz w:val="20"/>
              </w:rPr>
              <w:t xml:space="preserve"> strategies in every local government</w:t>
            </w:r>
          </w:p>
        </w:tc>
      </w:tr>
      <w:tr w:rsidR="00505B8F" w:rsidRPr="006F33FC" w:rsidTr="00AD2972">
        <w:trPr>
          <w:trHeight w:val="615"/>
        </w:trPr>
        <w:tc>
          <w:tcPr>
            <w:cnfStyle w:val="001000000000" w:firstRow="0" w:lastRow="0" w:firstColumn="1" w:lastColumn="0" w:oddVBand="0" w:evenVBand="0" w:oddHBand="0" w:evenHBand="0" w:firstRowFirstColumn="0" w:firstRowLastColumn="0" w:lastRowFirstColumn="0" w:lastRowLastColumn="0"/>
            <w:tcW w:w="1285" w:type="pct"/>
            <w:vAlign w:val="center"/>
          </w:tcPr>
          <w:p w:rsidR="00505B8F" w:rsidRDefault="00505B8F" w:rsidP="00AD2972">
            <w:pPr>
              <w:autoSpaceDE w:val="0"/>
              <w:autoSpaceDN w:val="0"/>
              <w:adjustRightInd w:val="0"/>
              <w:rPr>
                <w:rFonts w:cs="Arial"/>
                <w:sz w:val="20"/>
              </w:rPr>
            </w:pPr>
            <w:r w:rsidRPr="00747AB9">
              <w:rPr>
                <w:sz w:val="20"/>
              </w:rPr>
              <w:t>Interpretation considerations</w:t>
            </w:r>
          </w:p>
        </w:tc>
        <w:tc>
          <w:tcPr>
            <w:tcW w:w="3715" w:type="pct"/>
            <w:vAlign w:val="center"/>
          </w:tcPr>
          <w:p w:rsidR="00482FD4" w:rsidRDefault="00505B8F" w:rsidP="00AA605A">
            <w:pPr>
              <w:numPr>
                <w:ilvl w:val="0"/>
                <w:numId w:val="32"/>
              </w:numPr>
              <w:ind w:left="319" w:hanging="284"/>
              <w:contextualSpacing/>
              <w:jc w:val="both"/>
              <w:cnfStyle w:val="000000000000" w:firstRow="0" w:lastRow="0" w:firstColumn="0" w:lastColumn="0" w:oddVBand="0" w:evenVBand="0" w:oddHBand="0" w:evenHBand="0" w:firstRowFirstColumn="0" w:firstRowLastColumn="0" w:lastRowFirstColumn="0" w:lastRowLastColumn="0"/>
              <w:rPr>
                <w:sz w:val="20"/>
              </w:rPr>
            </w:pPr>
            <w:r w:rsidRPr="00AC70C3">
              <w:rPr>
                <w:sz w:val="20"/>
              </w:rPr>
              <w:t xml:space="preserve">Definition - </w:t>
            </w:r>
            <w:r w:rsidR="00490439">
              <w:rPr>
                <w:sz w:val="20"/>
              </w:rPr>
              <w:t>i</w:t>
            </w:r>
            <w:r w:rsidRPr="00AC70C3">
              <w:rPr>
                <w:sz w:val="20"/>
              </w:rPr>
              <w:t>nformation should be provided on the appropriate levels of government below the national level with responsibility for disaster risk reduction</w:t>
            </w:r>
          </w:p>
          <w:p w:rsidR="00482FD4" w:rsidRDefault="00482FD4">
            <w:pPr>
              <w:numPr>
                <w:ilvl w:val="0"/>
                <w:numId w:val="32"/>
              </w:numPr>
              <w:ind w:left="319" w:hanging="284"/>
              <w:contextualSpacing/>
              <w:jc w:val="both"/>
              <w:cnfStyle w:val="000000000000" w:firstRow="0" w:lastRow="0" w:firstColumn="0" w:lastColumn="0" w:oddVBand="0" w:evenVBand="0" w:oddHBand="0" w:evenHBand="0" w:firstRowFirstColumn="0" w:firstRowLastColumn="0" w:lastRowFirstColumn="0" w:lastRowLastColumn="0"/>
              <w:rPr>
                <w:sz w:val="20"/>
              </w:rPr>
            </w:pPr>
            <w:r>
              <w:rPr>
                <w:sz w:val="20"/>
              </w:rPr>
              <w:t>Systematic integration of health into national and sub-national disaster risk reduction policies and plans</w:t>
            </w:r>
            <w:r>
              <w:rPr>
                <w:rStyle w:val="FootnoteReference"/>
                <w:sz w:val="20"/>
              </w:rPr>
              <w:footnoteReference w:id="4"/>
            </w:r>
          </w:p>
          <w:p w:rsidR="00532A4C" w:rsidRPr="00505B8F" w:rsidRDefault="00532A4C" w:rsidP="0067069C">
            <w:pPr>
              <w:ind w:left="319"/>
              <w:contextualSpacing/>
              <w:jc w:val="both"/>
              <w:cnfStyle w:val="000000000000" w:firstRow="0" w:lastRow="0" w:firstColumn="0" w:lastColumn="0" w:oddVBand="0" w:evenVBand="0" w:oddHBand="0" w:evenHBand="0" w:firstRowFirstColumn="0" w:firstRowLastColumn="0" w:lastRowFirstColumn="0" w:lastRowLastColumn="0"/>
              <w:rPr>
                <w:sz w:val="20"/>
              </w:rPr>
            </w:pPr>
          </w:p>
        </w:tc>
      </w:tr>
      <w:tr w:rsidR="002C1AAA" w:rsidRPr="006F33FC" w:rsidTr="00AD2972">
        <w:trPr>
          <w:trHeight w:val="615"/>
        </w:trPr>
        <w:tc>
          <w:tcPr>
            <w:cnfStyle w:val="001000000000" w:firstRow="0" w:lastRow="0" w:firstColumn="1" w:lastColumn="0" w:oddVBand="0" w:evenVBand="0" w:oddHBand="0" w:evenHBand="0" w:firstRowFirstColumn="0" w:firstRowLastColumn="0" w:lastRowFirstColumn="0" w:lastRowLastColumn="0"/>
            <w:tcW w:w="1285" w:type="pct"/>
            <w:vAlign w:val="center"/>
          </w:tcPr>
          <w:p w:rsidR="002C1AAA" w:rsidRPr="00747AB9" w:rsidRDefault="002C1AAA" w:rsidP="00AD2972">
            <w:pPr>
              <w:autoSpaceDE w:val="0"/>
              <w:autoSpaceDN w:val="0"/>
              <w:adjustRightInd w:val="0"/>
              <w:rPr>
                <w:sz w:val="20"/>
              </w:rPr>
            </w:pPr>
            <w:r>
              <w:rPr>
                <w:sz w:val="20"/>
              </w:rPr>
              <w:t>Customisable indicators</w:t>
            </w:r>
          </w:p>
        </w:tc>
        <w:tc>
          <w:tcPr>
            <w:tcW w:w="3715" w:type="pct"/>
            <w:vAlign w:val="center"/>
          </w:tcPr>
          <w:p w:rsidR="002C1AAA" w:rsidRDefault="002C1AAA" w:rsidP="0067069C">
            <w:pPr>
              <w:numPr>
                <w:ilvl w:val="0"/>
                <w:numId w:val="32"/>
              </w:numPr>
              <w:ind w:left="319" w:hanging="284"/>
              <w:contextualSpacing/>
              <w:jc w:val="both"/>
              <w:cnfStyle w:val="000000000000" w:firstRow="0" w:lastRow="0" w:firstColumn="0" w:lastColumn="0" w:oddVBand="0" w:evenVBand="0" w:oddHBand="0" w:evenHBand="0" w:firstRowFirstColumn="0" w:firstRowLastColumn="0" w:lastRowFirstColumn="0" w:lastRowLastColumn="0"/>
              <w:rPr>
                <w:sz w:val="20"/>
              </w:rPr>
            </w:pPr>
            <w:r>
              <w:rPr>
                <w:sz w:val="20"/>
              </w:rPr>
              <w:t>the number of national and local health EDRM strategies that demonstrate the implementation of the Sendai Framework for Disaster Risk Reduction (using 10 elements above)</w:t>
            </w:r>
          </w:p>
          <w:p w:rsidR="002C1AAA" w:rsidRDefault="002C1AAA" w:rsidP="0067069C">
            <w:pPr>
              <w:numPr>
                <w:ilvl w:val="0"/>
                <w:numId w:val="32"/>
              </w:numPr>
              <w:ind w:left="319" w:hanging="284"/>
              <w:contextualSpacing/>
              <w:jc w:val="both"/>
              <w:cnfStyle w:val="000000000000" w:firstRow="0" w:lastRow="0" w:firstColumn="0" w:lastColumn="0" w:oddVBand="0" w:evenVBand="0" w:oddHBand="0" w:evenHBand="0" w:firstRowFirstColumn="0" w:firstRowLastColumn="0" w:lastRowFirstColumn="0" w:lastRowLastColumn="0"/>
              <w:rPr>
                <w:sz w:val="20"/>
              </w:rPr>
            </w:pPr>
            <w:r>
              <w:rPr>
                <w:sz w:val="20"/>
              </w:rPr>
              <w:t>the number of national strategies to build capacity for the implementation of the International Health Regulations (2005)</w:t>
            </w:r>
          </w:p>
          <w:p w:rsidR="002C1AAA" w:rsidRPr="00AC70C3" w:rsidRDefault="002C1AAA">
            <w:pPr>
              <w:numPr>
                <w:ilvl w:val="0"/>
                <w:numId w:val="32"/>
              </w:numPr>
              <w:ind w:left="319" w:hanging="284"/>
              <w:contextualSpacing/>
              <w:jc w:val="both"/>
              <w:cnfStyle w:val="000000000000" w:firstRow="0" w:lastRow="0" w:firstColumn="0" w:lastColumn="0" w:oddVBand="0" w:evenVBand="0" w:oddHBand="0" w:evenHBand="0" w:firstRowFirstColumn="0" w:firstRowLastColumn="0" w:lastRowFirstColumn="0" w:lastRowLastColumn="0"/>
              <w:rPr>
                <w:sz w:val="20"/>
              </w:rPr>
            </w:pPr>
            <w:r>
              <w:rPr>
                <w:sz w:val="20"/>
              </w:rPr>
              <w:t>the number of national health sector policies, plan</w:t>
            </w:r>
            <w:r w:rsidR="00B919C1">
              <w:rPr>
                <w:sz w:val="20"/>
              </w:rPr>
              <w:t>s and strategies that integrate</w:t>
            </w:r>
            <w:r>
              <w:rPr>
                <w:sz w:val="20"/>
              </w:rPr>
              <w:t xml:space="preserve"> national </w:t>
            </w:r>
            <w:r w:rsidR="00B919C1">
              <w:rPr>
                <w:sz w:val="20"/>
              </w:rPr>
              <w:t xml:space="preserve">Health EDRM strategies </w:t>
            </w:r>
            <w:r w:rsidR="00B919C1">
              <w:rPr>
                <w:rFonts w:cs="Arial"/>
                <w:bCs/>
                <w:sz w:val="20"/>
                <w:szCs w:val="20"/>
              </w:rPr>
              <w:t>or equivalents</w:t>
            </w:r>
            <w:r w:rsidRPr="001F620D">
              <w:rPr>
                <w:rFonts w:cs="Arial"/>
                <w:bCs/>
                <w:sz w:val="20"/>
                <w:szCs w:val="20"/>
              </w:rPr>
              <w:t>.</w:t>
            </w:r>
          </w:p>
        </w:tc>
      </w:tr>
    </w:tbl>
    <w:p w:rsidR="0032591D" w:rsidRDefault="0032591D" w:rsidP="00AA605A">
      <w:pPr>
        <w:spacing w:after="0" w:line="240" w:lineRule="auto"/>
        <w:ind w:left="68"/>
      </w:pPr>
    </w:p>
    <w:p w:rsidR="0032591D" w:rsidRPr="0032591D" w:rsidRDefault="0032591D" w:rsidP="00AA605A">
      <w:pPr>
        <w:spacing w:after="0" w:line="240" w:lineRule="auto"/>
        <w:ind w:left="68"/>
        <w:rPr>
          <w:b/>
        </w:rPr>
      </w:pPr>
      <w:r w:rsidRPr="0032591D">
        <w:rPr>
          <w:b/>
        </w:rPr>
        <w:t>4.</w:t>
      </w:r>
      <w:r w:rsidRPr="0032591D">
        <w:rPr>
          <w:b/>
        </w:rPr>
        <w:tab/>
        <w:t>Reporting</w:t>
      </w:r>
    </w:p>
    <w:p w:rsidR="0032591D" w:rsidRDefault="0032591D" w:rsidP="00AA605A">
      <w:pPr>
        <w:spacing w:after="0" w:line="240" w:lineRule="auto"/>
        <w:ind w:left="68"/>
        <w:jc w:val="both"/>
      </w:pPr>
    </w:p>
    <w:p w:rsidR="0032591D" w:rsidRDefault="0032591D" w:rsidP="00AA605A">
      <w:pPr>
        <w:spacing w:after="0" w:line="240" w:lineRule="auto"/>
        <w:ind w:left="68"/>
        <w:jc w:val="both"/>
      </w:pPr>
      <w:r>
        <w:t xml:space="preserve">This guidance notes has outlined the key role that Ministries of Health have in providing data to support reporting against Sendai Framework Target E.  </w:t>
      </w:r>
    </w:p>
    <w:p w:rsidR="0032591D" w:rsidRDefault="0032591D" w:rsidP="00AA605A">
      <w:pPr>
        <w:spacing w:after="0" w:line="240" w:lineRule="auto"/>
        <w:ind w:left="68"/>
        <w:jc w:val="both"/>
      </w:pPr>
    </w:p>
    <w:p w:rsidR="0032591D" w:rsidRDefault="0032591D" w:rsidP="00AA605A">
      <w:pPr>
        <w:spacing w:after="0" w:line="240" w:lineRule="auto"/>
        <w:ind w:left="68"/>
        <w:jc w:val="both"/>
      </w:pPr>
      <w:r>
        <w:t xml:space="preserve">Each country’s Sendai Framework Monitoring National Focal Point has responsibility for submitting national reports for the Sendai Framework. UNISDR developed a web based tool to support Member States in reporting against the indicators.  The Sendai Framework Monitor </w:t>
      </w:r>
      <w:hyperlink r:id="rId10" w:history="1">
        <w:r w:rsidRPr="001131DE">
          <w:rPr>
            <w:rStyle w:val="Hyperlink"/>
          </w:rPr>
          <w:t>https://sendaimonitor.unisdr.org/</w:t>
        </w:r>
      </w:hyperlink>
      <w:r>
        <w:t xml:space="preserve"> not only functions as a reporting tool but also functions as a management tool to help countries develop disaster risk reduction strategies, make risk-informed policy decisions and allocate resources to prevent new disaster risks.</w:t>
      </w:r>
    </w:p>
    <w:p w:rsidR="0032591D" w:rsidRDefault="0032591D" w:rsidP="00AA605A">
      <w:pPr>
        <w:spacing w:after="0" w:line="240" w:lineRule="auto"/>
        <w:ind w:left="68"/>
        <w:jc w:val="both"/>
      </w:pPr>
    </w:p>
    <w:p w:rsidR="00CB3FBF" w:rsidRDefault="0032591D" w:rsidP="00AA605A">
      <w:pPr>
        <w:spacing w:after="0" w:line="240" w:lineRule="auto"/>
        <w:ind w:left="68"/>
        <w:jc w:val="both"/>
      </w:pPr>
      <w:r>
        <w:t>As of March 1, 2018, Member States have been reporting against the indicators for measuring the global targets of the Sendai Framework, and disaster risk reduction-related indicators of the SDGs, using the online Sendai Framework Monitor.  It is important that the relevant officials in the Ministries of Health are either linked to the National Focal point or is granted access to the Sendai framework Monitor to input health data as outlined in the Guidance Note above.”</w:t>
      </w:r>
    </w:p>
    <w:sectPr w:rsidR="00CB3FB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72" w:rsidRDefault="004A0B72" w:rsidP="00454DA4">
      <w:pPr>
        <w:spacing w:after="0" w:line="240" w:lineRule="auto"/>
      </w:pPr>
      <w:r>
        <w:separator/>
      </w:r>
    </w:p>
  </w:endnote>
  <w:endnote w:type="continuationSeparator" w:id="0">
    <w:p w:rsidR="004A0B72" w:rsidRDefault="004A0B72" w:rsidP="0045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42" w:rsidRDefault="000A1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66" w:rsidRDefault="000C492A">
    <w:pPr>
      <w:pStyle w:val="Footer"/>
    </w:pPr>
    <w:fldSimple w:instr=" FILENAME  \* Lower  \* MERGEFORMAT ">
      <w:r w:rsidR="000A1642">
        <w:rPr>
          <w:noProof/>
        </w:rPr>
        <w:t>181116 target e sendai reporting guidance notes draft clean.docx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42" w:rsidRDefault="000A1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72" w:rsidRDefault="004A0B72" w:rsidP="00454DA4">
      <w:pPr>
        <w:spacing w:after="0" w:line="240" w:lineRule="auto"/>
      </w:pPr>
      <w:r>
        <w:separator/>
      </w:r>
    </w:p>
  </w:footnote>
  <w:footnote w:type="continuationSeparator" w:id="0">
    <w:p w:rsidR="004A0B72" w:rsidRDefault="004A0B72" w:rsidP="00454DA4">
      <w:pPr>
        <w:spacing w:after="0" w:line="240" w:lineRule="auto"/>
      </w:pPr>
      <w:r>
        <w:continuationSeparator/>
      </w:r>
    </w:p>
  </w:footnote>
  <w:footnote w:id="1">
    <w:p w:rsidR="00AD2972" w:rsidRDefault="00AD2972">
      <w:pPr>
        <w:pStyle w:val="FootnoteText"/>
      </w:pPr>
      <w:r>
        <w:rPr>
          <w:rStyle w:val="FootnoteReference"/>
        </w:rPr>
        <w:footnoteRef/>
      </w:r>
      <w:r>
        <w:t xml:space="preserve"> </w:t>
      </w:r>
      <w:r w:rsidRPr="00454DA4">
        <w:t>https://www.unisdr.org/files/53080_entrybgpaperglobalsummaryreportdisa.pdf</w:t>
      </w:r>
    </w:p>
  </w:footnote>
  <w:footnote w:id="2">
    <w:p w:rsidR="00AD2972" w:rsidRDefault="00AD2972">
      <w:pPr>
        <w:pStyle w:val="FootnoteText"/>
      </w:pPr>
      <w:r>
        <w:rPr>
          <w:rStyle w:val="FootnoteReference"/>
        </w:rPr>
        <w:footnoteRef/>
      </w:r>
      <w:r>
        <w:t xml:space="preserve"> </w:t>
      </w:r>
      <w:r w:rsidRPr="00454DA4">
        <w:t>http://www.who.int/hac/about/Global_survey_inside.pdf</w:t>
      </w:r>
    </w:p>
  </w:footnote>
  <w:footnote w:id="3">
    <w:p w:rsidR="00AD2972" w:rsidRDefault="00AD2972" w:rsidP="00AA605A">
      <w:pPr>
        <w:pStyle w:val="FootnoteText"/>
        <w:ind w:left="142" w:hanging="142"/>
        <w:jc w:val="both"/>
      </w:pPr>
      <w:r>
        <w:rPr>
          <w:rStyle w:val="FootnoteReference"/>
        </w:rPr>
        <w:footnoteRef/>
      </w:r>
      <w:r>
        <w:t xml:space="preserve"> </w:t>
      </w:r>
      <w:r w:rsidRPr="00532A4C">
        <w:t>https://www.unisdr.org/we/inform/publications/54970</w:t>
      </w:r>
    </w:p>
  </w:footnote>
  <w:footnote w:id="4">
    <w:p w:rsidR="00482FD4" w:rsidRDefault="00482FD4">
      <w:pPr>
        <w:pStyle w:val="FootnoteText"/>
      </w:pPr>
      <w:r>
        <w:rPr>
          <w:rStyle w:val="FootnoteReference"/>
        </w:rPr>
        <w:footnoteRef/>
      </w:r>
      <w:r>
        <w:t xml:space="preserve"> </w:t>
      </w:r>
      <w:r w:rsidRPr="00482FD4">
        <w:t>https://www.unisdr.org/files/globalplatform/59224b6aebe8fBangkok_Principles_for_the_implementation_of_the_health_aspects_of_the_Sendai_Framework_for_Disaster_Risk_Reduction_2015.pdf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42" w:rsidRDefault="000A1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72" w:rsidRPr="00A67164" w:rsidRDefault="00B4694A">
    <w:pPr>
      <w:pStyle w:val="Header"/>
      <w:rPr>
        <w:i/>
        <w:iCs/>
      </w:rPr>
    </w:pPr>
    <w:sdt>
      <w:sdtPr>
        <w:rPr>
          <w:i/>
          <w:iCs/>
        </w:rPr>
        <w:id w:val="-402219408"/>
        <w:docPartObj>
          <w:docPartGallery w:val="Watermarks"/>
          <w:docPartUnique/>
        </w:docPartObj>
      </w:sdtPr>
      <w:sdtContent>
        <w:r w:rsidRPr="00B4694A">
          <w:rPr>
            <w:i/>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67164" w:rsidRPr="00A67164">
      <w:rPr>
        <w:i/>
        <w:iCs/>
      </w:rPr>
      <w:t>Draft for review. Please do not quote or distribute further – thank you. WHO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42" w:rsidRDefault="000A1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BB3"/>
    <w:multiLevelType w:val="multilevel"/>
    <w:tmpl w:val="553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5F3F77"/>
    <w:multiLevelType w:val="hybridMultilevel"/>
    <w:tmpl w:val="FC18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1643D"/>
    <w:multiLevelType w:val="multilevel"/>
    <w:tmpl w:val="6DC20C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16723575"/>
    <w:multiLevelType w:val="multilevel"/>
    <w:tmpl w:val="2C74D52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16F60008"/>
    <w:multiLevelType w:val="multilevel"/>
    <w:tmpl w:val="B38E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81744"/>
    <w:multiLevelType w:val="multilevel"/>
    <w:tmpl w:val="FD3EC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C547412"/>
    <w:multiLevelType w:val="hybridMultilevel"/>
    <w:tmpl w:val="1408ECC8"/>
    <w:lvl w:ilvl="0" w:tplc="1B4C7CFA">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7">
    <w:nsid w:val="1D7553BC"/>
    <w:multiLevelType w:val="hybridMultilevel"/>
    <w:tmpl w:val="BA5CE35E"/>
    <w:lvl w:ilvl="0" w:tplc="11A89D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E57DB"/>
    <w:multiLevelType w:val="hybridMultilevel"/>
    <w:tmpl w:val="69BCD578"/>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17274"/>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B91F66"/>
    <w:multiLevelType w:val="multilevel"/>
    <w:tmpl w:val="68B0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E168C5"/>
    <w:multiLevelType w:val="multilevel"/>
    <w:tmpl w:val="4268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D154516"/>
    <w:multiLevelType w:val="hybridMultilevel"/>
    <w:tmpl w:val="3F3C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C3E9E"/>
    <w:multiLevelType w:val="hybridMultilevel"/>
    <w:tmpl w:val="FD347B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21002"/>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1069CA"/>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5A0BDB"/>
    <w:multiLevelType w:val="hybridMultilevel"/>
    <w:tmpl w:val="1A20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C16ADF"/>
    <w:multiLevelType w:val="multilevel"/>
    <w:tmpl w:val="76E6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1DE5831"/>
    <w:multiLevelType w:val="multilevel"/>
    <w:tmpl w:val="35321A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nsid w:val="340305DA"/>
    <w:multiLevelType w:val="hybridMultilevel"/>
    <w:tmpl w:val="6FBACA52"/>
    <w:lvl w:ilvl="0" w:tplc="0809000F">
      <w:start w:val="1"/>
      <w:numFmt w:val="decimal"/>
      <w:lvlText w:val="%1."/>
      <w:lvlJc w:val="left"/>
      <w:pPr>
        <w:ind w:left="679" w:hanging="360"/>
      </w:p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0">
    <w:nsid w:val="384B52F2"/>
    <w:multiLevelType w:val="hybridMultilevel"/>
    <w:tmpl w:val="6304F354"/>
    <w:lvl w:ilvl="0" w:tplc="009C9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6079D"/>
    <w:multiLevelType w:val="hybridMultilevel"/>
    <w:tmpl w:val="6358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E6748"/>
    <w:multiLevelType w:val="hybridMultilevel"/>
    <w:tmpl w:val="31061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B26E7A"/>
    <w:multiLevelType w:val="multilevel"/>
    <w:tmpl w:val="41A4B1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nsid w:val="44287913"/>
    <w:multiLevelType w:val="hybridMultilevel"/>
    <w:tmpl w:val="239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135D6C"/>
    <w:multiLevelType w:val="multilevel"/>
    <w:tmpl w:val="74C2AD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nsid w:val="48047CBC"/>
    <w:multiLevelType w:val="hybridMultilevel"/>
    <w:tmpl w:val="6A5CDA8A"/>
    <w:lvl w:ilvl="0" w:tplc="50680D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2F083F"/>
    <w:multiLevelType w:val="hybridMultilevel"/>
    <w:tmpl w:val="2F261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779E7"/>
    <w:multiLevelType w:val="hybridMultilevel"/>
    <w:tmpl w:val="03EC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76B09"/>
    <w:multiLevelType w:val="multilevel"/>
    <w:tmpl w:val="10E80C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nsid w:val="594D1DC8"/>
    <w:multiLevelType w:val="hybridMultilevel"/>
    <w:tmpl w:val="7E2E41D0"/>
    <w:lvl w:ilvl="0" w:tplc="A544B0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024DB9"/>
    <w:multiLevelType w:val="multilevel"/>
    <w:tmpl w:val="E93E82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6A482765"/>
    <w:multiLevelType w:val="hybridMultilevel"/>
    <w:tmpl w:val="C4186A50"/>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6AEB75A1"/>
    <w:multiLevelType w:val="hybridMultilevel"/>
    <w:tmpl w:val="0936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F0532"/>
    <w:multiLevelType w:val="hybridMultilevel"/>
    <w:tmpl w:val="8090B210"/>
    <w:lvl w:ilvl="0" w:tplc="A91409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04E32A4"/>
    <w:multiLevelType w:val="hybridMultilevel"/>
    <w:tmpl w:val="136EC5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7948A1"/>
    <w:multiLevelType w:val="multilevel"/>
    <w:tmpl w:val="F8AEEC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nsid w:val="755A4C42"/>
    <w:multiLevelType w:val="hybridMultilevel"/>
    <w:tmpl w:val="6F6C04D4"/>
    <w:lvl w:ilvl="0" w:tplc="08090001">
      <w:start w:val="1"/>
      <w:numFmt w:val="bullet"/>
      <w:lvlText w:val=""/>
      <w:lvlJc w:val="left"/>
      <w:pPr>
        <w:ind w:left="679" w:hanging="360"/>
      </w:pPr>
      <w:rPr>
        <w:rFonts w:ascii="Symbol" w:hAnsi="Symbol"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num w:numId="1">
    <w:abstractNumId w:val="5"/>
  </w:num>
  <w:num w:numId="2">
    <w:abstractNumId w:val="32"/>
  </w:num>
  <w:num w:numId="3">
    <w:abstractNumId w:val="4"/>
  </w:num>
  <w:num w:numId="4">
    <w:abstractNumId w:val="8"/>
  </w:num>
  <w:num w:numId="5">
    <w:abstractNumId w:val="13"/>
  </w:num>
  <w:num w:numId="6">
    <w:abstractNumId w:val="10"/>
  </w:num>
  <w:num w:numId="7">
    <w:abstractNumId w:val="11"/>
  </w:num>
  <w:num w:numId="8">
    <w:abstractNumId w:val="31"/>
  </w:num>
  <w:num w:numId="9">
    <w:abstractNumId w:val="0"/>
  </w:num>
  <w:num w:numId="10">
    <w:abstractNumId w:val="17"/>
  </w:num>
  <w:num w:numId="11">
    <w:abstractNumId w:val="20"/>
  </w:num>
  <w:num w:numId="12">
    <w:abstractNumId w:val="15"/>
  </w:num>
  <w:num w:numId="13">
    <w:abstractNumId w:val="14"/>
  </w:num>
  <w:num w:numId="14">
    <w:abstractNumId w:val="9"/>
  </w:num>
  <w:num w:numId="15">
    <w:abstractNumId w:val="30"/>
  </w:num>
  <w:num w:numId="16">
    <w:abstractNumId w:val="16"/>
  </w:num>
  <w:num w:numId="17">
    <w:abstractNumId w:val="22"/>
  </w:num>
  <w:num w:numId="18">
    <w:abstractNumId w:val="25"/>
  </w:num>
  <w:num w:numId="19">
    <w:abstractNumId w:val="18"/>
  </w:num>
  <w:num w:numId="20">
    <w:abstractNumId w:val="2"/>
  </w:num>
  <w:num w:numId="21">
    <w:abstractNumId w:val="36"/>
  </w:num>
  <w:num w:numId="22">
    <w:abstractNumId w:val="3"/>
  </w:num>
  <w:num w:numId="23">
    <w:abstractNumId w:val="23"/>
  </w:num>
  <w:num w:numId="24">
    <w:abstractNumId w:val="29"/>
  </w:num>
  <w:num w:numId="25">
    <w:abstractNumId w:val="19"/>
  </w:num>
  <w:num w:numId="26">
    <w:abstractNumId w:val="35"/>
  </w:num>
  <w:num w:numId="27">
    <w:abstractNumId w:val="7"/>
  </w:num>
  <w:num w:numId="28">
    <w:abstractNumId w:val="26"/>
  </w:num>
  <w:num w:numId="29">
    <w:abstractNumId w:val="12"/>
  </w:num>
  <w:num w:numId="30">
    <w:abstractNumId w:val="1"/>
  </w:num>
  <w:num w:numId="31">
    <w:abstractNumId w:val="33"/>
  </w:num>
  <w:num w:numId="32">
    <w:abstractNumId w:val="37"/>
  </w:num>
  <w:num w:numId="33">
    <w:abstractNumId w:val="27"/>
  </w:num>
  <w:num w:numId="34">
    <w:abstractNumId w:val="24"/>
  </w:num>
  <w:num w:numId="35">
    <w:abstractNumId w:val="34"/>
  </w:num>
  <w:num w:numId="36">
    <w:abstractNumId w:val="6"/>
  </w:num>
  <w:num w:numId="37">
    <w:abstractNumId w:val="2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5"/>
    <w:rsid w:val="0001457D"/>
    <w:rsid w:val="00017CFD"/>
    <w:rsid w:val="000A1642"/>
    <w:rsid w:val="000A5131"/>
    <w:rsid w:val="000C492A"/>
    <w:rsid w:val="00104059"/>
    <w:rsid w:val="001335E7"/>
    <w:rsid w:val="00160E15"/>
    <w:rsid w:val="00170F6F"/>
    <w:rsid w:val="0018613C"/>
    <w:rsid w:val="00191A90"/>
    <w:rsid w:val="001F620D"/>
    <w:rsid w:val="002301C2"/>
    <w:rsid w:val="002317CE"/>
    <w:rsid w:val="002A6FCE"/>
    <w:rsid w:val="002C1AAA"/>
    <w:rsid w:val="0032591D"/>
    <w:rsid w:val="0033521D"/>
    <w:rsid w:val="00354B93"/>
    <w:rsid w:val="00375E2D"/>
    <w:rsid w:val="003D4C4D"/>
    <w:rsid w:val="003F0240"/>
    <w:rsid w:val="0043565F"/>
    <w:rsid w:val="00454DA4"/>
    <w:rsid w:val="004767F6"/>
    <w:rsid w:val="00482FD4"/>
    <w:rsid w:val="00490439"/>
    <w:rsid w:val="004A0B72"/>
    <w:rsid w:val="004D4AE8"/>
    <w:rsid w:val="00505B8F"/>
    <w:rsid w:val="00532A4C"/>
    <w:rsid w:val="005876E1"/>
    <w:rsid w:val="005D54AA"/>
    <w:rsid w:val="006124C4"/>
    <w:rsid w:val="00613CFC"/>
    <w:rsid w:val="0067069C"/>
    <w:rsid w:val="00675324"/>
    <w:rsid w:val="00675563"/>
    <w:rsid w:val="00677186"/>
    <w:rsid w:val="0069259F"/>
    <w:rsid w:val="00692AC6"/>
    <w:rsid w:val="006D6FCE"/>
    <w:rsid w:val="006F33FC"/>
    <w:rsid w:val="007133C9"/>
    <w:rsid w:val="00763C29"/>
    <w:rsid w:val="00777473"/>
    <w:rsid w:val="00797D32"/>
    <w:rsid w:val="007F5652"/>
    <w:rsid w:val="00830026"/>
    <w:rsid w:val="008549EC"/>
    <w:rsid w:val="00867FDC"/>
    <w:rsid w:val="0089749B"/>
    <w:rsid w:val="008B171B"/>
    <w:rsid w:val="008E2A04"/>
    <w:rsid w:val="0097455C"/>
    <w:rsid w:val="00995D8C"/>
    <w:rsid w:val="009F4A9C"/>
    <w:rsid w:val="009F5446"/>
    <w:rsid w:val="009F6A04"/>
    <w:rsid w:val="00A0127C"/>
    <w:rsid w:val="00A67164"/>
    <w:rsid w:val="00A72168"/>
    <w:rsid w:val="00A92CD7"/>
    <w:rsid w:val="00AA605A"/>
    <w:rsid w:val="00AC271A"/>
    <w:rsid w:val="00AC70C3"/>
    <w:rsid w:val="00AC7A03"/>
    <w:rsid w:val="00AD2972"/>
    <w:rsid w:val="00B3174D"/>
    <w:rsid w:val="00B4694A"/>
    <w:rsid w:val="00B70DE4"/>
    <w:rsid w:val="00B769DB"/>
    <w:rsid w:val="00B8281A"/>
    <w:rsid w:val="00B90366"/>
    <w:rsid w:val="00B919C1"/>
    <w:rsid w:val="00BA6975"/>
    <w:rsid w:val="00C36579"/>
    <w:rsid w:val="00C41F50"/>
    <w:rsid w:val="00C62A28"/>
    <w:rsid w:val="00C918AC"/>
    <w:rsid w:val="00CB3FBF"/>
    <w:rsid w:val="00CE2D01"/>
    <w:rsid w:val="00CE7E03"/>
    <w:rsid w:val="00D57B88"/>
    <w:rsid w:val="00DC662E"/>
    <w:rsid w:val="00E102DF"/>
    <w:rsid w:val="00E130BD"/>
    <w:rsid w:val="00E14B54"/>
    <w:rsid w:val="00E23B91"/>
    <w:rsid w:val="00E6618A"/>
    <w:rsid w:val="00E70D5D"/>
    <w:rsid w:val="00E93108"/>
    <w:rsid w:val="00ED3312"/>
    <w:rsid w:val="00EE2BAB"/>
    <w:rsid w:val="00F2184C"/>
    <w:rsid w:val="00F52B62"/>
    <w:rsid w:val="00F556D8"/>
    <w:rsid w:val="00F61C18"/>
    <w:rsid w:val="00F70F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couleur - Accent 111,Bullets,List Paragraph nowy,Numbered List Paragraph,List Paragraph (numbered (a)),Bioforce zListePuce,Glossaire,liste de tableaux,Titre1,References,ReferencesCxSpLast,Paragraphe de liste11,Bullet List,FooterText"/>
    <w:basedOn w:val="Normal"/>
    <w:link w:val="ListParagraphChar"/>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3F0240"/>
    <w:rPr>
      <w:sz w:val="16"/>
      <w:szCs w:val="16"/>
    </w:rPr>
  </w:style>
  <w:style w:type="paragraph" w:styleId="CommentText">
    <w:name w:val="annotation text"/>
    <w:basedOn w:val="Normal"/>
    <w:link w:val="CommentTextChar"/>
    <w:uiPriority w:val="99"/>
    <w:semiHidden/>
    <w:unhideWhenUsed/>
    <w:rsid w:val="003F0240"/>
    <w:pPr>
      <w:spacing w:line="240" w:lineRule="auto"/>
    </w:pPr>
    <w:rPr>
      <w:sz w:val="20"/>
      <w:szCs w:val="20"/>
    </w:rPr>
  </w:style>
  <w:style w:type="character" w:customStyle="1" w:styleId="CommentTextChar">
    <w:name w:val="Comment Text Char"/>
    <w:basedOn w:val="DefaultParagraphFont"/>
    <w:link w:val="CommentText"/>
    <w:uiPriority w:val="99"/>
    <w:semiHidden/>
    <w:rsid w:val="003F0240"/>
    <w:rPr>
      <w:sz w:val="20"/>
      <w:szCs w:val="20"/>
    </w:rPr>
  </w:style>
  <w:style w:type="paragraph" w:styleId="CommentSubject">
    <w:name w:val="annotation subject"/>
    <w:basedOn w:val="CommentText"/>
    <w:next w:val="CommentText"/>
    <w:link w:val="CommentSubjectChar"/>
    <w:uiPriority w:val="99"/>
    <w:semiHidden/>
    <w:unhideWhenUsed/>
    <w:rsid w:val="003F0240"/>
    <w:rPr>
      <w:b/>
      <w:bCs/>
    </w:rPr>
  </w:style>
  <w:style w:type="character" w:customStyle="1" w:styleId="CommentSubjectChar">
    <w:name w:val="Comment Subject Char"/>
    <w:basedOn w:val="CommentTextChar"/>
    <w:link w:val="CommentSubject"/>
    <w:uiPriority w:val="99"/>
    <w:semiHidden/>
    <w:rsid w:val="003F0240"/>
    <w:rPr>
      <w:b/>
      <w:bCs/>
      <w:sz w:val="20"/>
      <w:szCs w:val="20"/>
    </w:rPr>
  </w:style>
  <w:style w:type="paragraph" w:styleId="BalloonText">
    <w:name w:val="Balloon Text"/>
    <w:basedOn w:val="Normal"/>
    <w:link w:val="BalloonTextChar"/>
    <w:uiPriority w:val="99"/>
    <w:semiHidden/>
    <w:unhideWhenUsed/>
    <w:rsid w:val="003F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40"/>
    <w:rPr>
      <w:rFonts w:ascii="Tahoma" w:hAnsi="Tahoma" w:cs="Tahoma"/>
      <w:sz w:val="16"/>
      <w:szCs w:val="16"/>
    </w:rPr>
  </w:style>
  <w:style w:type="paragraph" w:styleId="Bibliography">
    <w:name w:val="Bibliography"/>
    <w:basedOn w:val="Normal"/>
    <w:next w:val="Normal"/>
    <w:uiPriority w:val="37"/>
    <w:unhideWhenUsed/>
    <w:rsid w:val="00CB3FBF"/>
    <w:pPr>
      <w:spacing w:after="0" w:line="480" w:lineRule="auto"/>
      <w:ind w:left="720" w:hanging="720"/>
    </w:pPr>
  </w:style>
  <w:style w:type="paragraph" w:styleId="FootnoteText">
    <w:name w:val="footnote text"/>
    <w:basedOn w:val="Normal"/>
    <w:link w:val="FootnoteTextChar"/>
    <w:uiPriority w:val="99"/>
    <w:semiHidden/>
    <w:unhideWhenUsed/>
    <w:rsid w:val="00454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DA4"/>
    <w:rPr>
      <w:sz w:val="20"/>
      <w:szCs w:val="20"/>
    </w:rPr>
  </w:style>
  <w:style w:type="character" w:styleId="FootnoteReference">
    <w:name w:val="footnote reference"/>
    <w:basedOn w:val="DefaultParagraphFont"/>
    <w:uiPriority w:val="99"/>
    <w:semiHidden/>
    <w:unhideWhenUsed/>
    <w:rsid w:val="00454DA4"/>
    <w:rPr>
      <w:vertAlign w:val="superscript"/>
    </w:rPr>
  </w:style>
  <w:style w:type="paragraph" w:styleId="Header">
    <w:name w:val="header"/>
    <w:basedOn w:val="Normal"/>
    <w:link w:val="HeaderChar"/>
    <w:uiPriority w:val="99"/>
    <w:unhideWhenUsed/>
    <w:rsid w:val="00F7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F8"/>
  </w:style>
  <w:style w:type="paragraph" w:styleId="Footer">
    <w:name w:val="footer"/>
    <w:basedOn w:val="Normal"/>
    <w:link w:val="FooterChar"/>
    <w:uiPriority w:val="99"/>
    <w:unhideWhenUsed/>
    <w:rsid w:val="00F7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F8"/>
  </w:style>
  <w:style w:type="character" w:styleId="Hyperlink">
    <w:name w:val="Hyperlink"/>
    <w:basedOn w:val="DefaultParagraphFont"/>
    <w:uiPriority w:val="99"/>
    <w:unhideWhenUsed/>
    <w:rsid w:val="0032591D"/>
    <w:rPr>
      <w:color w:val="0000FF" w:themeColor="hyperlink"/>
      <w:u w:val="single"/>
    </w:rPr>
  </w:style>
  <w:style w:type="paragraph" w:styleId="NoSpacing">
    <w:name w:val="No Spacing"/>
    <w:basedOn w:val="Normal"/>
    <w:uiPriority w:val="1"/>
    <w:qFormat/>
    <w:rsid w:val="00160E15"/>
    <w:pPr>
      <w:spacing w:before="120" w:after="0" w:line="240" w:lineRule="auto"/>
      <w:jc w:val="both"/>
    </w:pPr>
    <w:rPr>
      <w:rFonts w:ascii="Verdana" w:eastAsia="Arial" w:hAnsi="Verdana" w:cs="Arial"/>
      <w:color w:val="000000"/>
      <w:sz w:val="20"/>
      <w:szCs w:val="20"/>
      <w:lang w:eastAsia="en-GB"/>
    </w:rPr>
  </w:style>
  <w:style w:type="paragraph" w:styleId="Caption">
    <w:name w:val="caption"/>
    <w:basedOn w:val="Normal"/>
    <w:next w:val="Normal"/>
    <w:uiPriority w:val="35"/>
    <w:semiHidden/>
    <w:unhideWhenUsed/>
    <w:qFormat/>
    <w:rsid w:val="00160E15"/>
    <w:pPr>
      <w:spacing w:line="240" w:lineRule="auto"/>
    </w:pPr>
    <w:rPr>
      <w:rFonts w:eastAsia="Arial" w:cs="Arial"/>
      <w:i/>
      <w:iCs/>
      <w:color w:val="1F497D" w:themeColor="text2"/>
      <w:sz w:val="18"/>
      <w:szCs w:val="18"/>
      <w:lang w:eastAsia="en-GB"/>
    </w:rPr>
  </w:style>
  <w:style w:type="paragraph" w:styleId="TableofFigures">
    <w:name w:val="table of figures"/>
    <w:basedOn w:val="Normal"/>
    <w:next w:val="Normal"/>
    <w:uiPriority w:val="99"/>
    <w:semiHidden/>
    <w:unhideWhenUsed/>
    <w:rsid w:val="00160E15"/>
    <w:pPr>
      <w:tabs>
        <w:tab w:val="left" w:leader="dot" w:pos="9072"/>
      </w:tabs>
      <w:spacing w:before="120" w:after="0" w:line="240" w:lineRule="auto"/>
    </w:pPr>
    <w:rPr>
      <w:rFonts w:ascii="Verdana" w:eastAsia="Arial" w:hAnsi="Verdana" w:cs="Arial"/>
      <w:color w:val="000000"/>
      <w:sz w:val="20"/>
      <w:szCs w:val="20"/>
      <w:lang w:eastAsia="en-GB"/>
    </w:rPr>
  </w:style>
  <w:style w:type="character" w:customStyle="1" w:styleId="ListParagraphChar">
    <w:name w:val="List Paragraph Char"/>
    <w:aliases w:val="Liste couleur - Accent 111 Char,Bullets Char,List Paragraph nowy Char,Numbered List Paragraph Char,List Paragraph (numbered (a)) Char,Bioforce zListePuce Char,Glossaire Char,liste de tableaux Char,Titre1 Char,References Char"/>
    <w:link w:val="ListParagraph"/>
    <w:uiPriority w:val="34"/>
    <w:qFormat/>
    <w:rsid w:val="00587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couleur - Accent 111,Bullets,List Paragraph nowy,Numbered List Paragraph,List Paragraph (numbered (a)),Bioforce zListePuce,Glossaire,liste de tableaux,Titre1,References,ReferencesCxSpLast,Paragraphe de liste11,Bullet List,FooterText"/>
    <w:basedOn w:val="Normal"/>
    <w:link w:val="ListParagraphChar"/>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3F0240"/>
    <w:rPr>
      <w:sz w:val="16"/>
      <w:szCs w:val="16"/>
    </w:rPr>
  </w:style>
  <w:style w:type="paragraph" w:styleId="CommentText">
    <w:name w:val="annotation text"/>
    <w:basedOn w:val="Normal"/>
    <w:link w:val="CommentTextChar"/>
    <w:uiPriority w:val="99"/>
    <w:semiHidden/>
    <w:unhideWhenUsed/>
    <w:rsid w:val="003F0240"/>
    <w:pPr>
      <w:spacing w:line="240" w:lineRule="auto"/>
    </w:pPr>
    <w:rPr>
      <w:sz w:val="20"/>
      <w:szCs w:val="20"/>
    </w:rPr>
  </w:style>
  <w:style w:type="character" w:customStyle="1" w:styleId="CommentTextChar">
    <w:name w:val="Comment Text Char"/>
    <w:basedOn w:val="DefaultParagraphFont"/>
    <w:link w:val="CommentText"/>
    <w:uiPriority w:val="99"/>
    <w:semiHidden/>
    <w:rsid w:val="003F0240"/>
    <w:rPr>
      <w:sz w:val="20"/>
      <w:szCs w:val="20"/>
    </w:rPr>
  </w:style>
  <w:style w:type="paragraph" w:styleId="CommentSubject">
    <w:name w:val="annotation subject"/>
    <w:basedOn w:val="CommentText"/>
    <w:next w:val="CommentText"/>
    <w:link w:val="CommentSubjectChar"/>
    <w:uiPriority w:val="99"/>
    <w:semiHidden/>
    <w:unhideWhenUsed/>
    <w:rsid w:val="003F0240"/>
    <w:rPr>
      <w:b/>
      <w:bCs/>
    </w:rPr>
  </w:style>
  <w:style w:type="character" w:customStyle="1" w:styleId="CommentSubjectChar">
    <w:name w:val="Comment Subject Char"/>
    <w:basedOn w:val="CommentTextChar"/>
    <w:link w:val="CommentSubject"/>
    <w:uiPriority w:val="99"/>
    <w:semiHidden/>
    <w:rsid w:val="003F0240"/>
    <w:rPr>
      <w:b/>
      <w:bCs/>
      <w:sz w:val="20"/>
      <w:szCs w:val="20"/>
    </w:rPr>
  </w:style>
  <w:style w:type="paragraph" w:styleId="BalloonText">
    <w:name w:val="Balloon Text"/>
    <w:basedOn w:val="Normal"/>
    <w:link w:val="BalloonTextChar"/>
    <w:uiPriority w:val="99"/>
    <w:semiHidden/>
    <w:unhideWhenUsed/>
    <w:rsid w:val="003F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40"/>
    <w:rPr>
      <w:rFonts w:ascii="Tahoma" w:hAnsi="Tahoma" w:cs="Tahoma"/>
      <w:sz w:val="16"/>
      <w:szCs w:val="16"/>
    </w:rPr>
  </w:style>
  <w:style w:type="paragraph" w:styleId="Bibliography">
    <w:name w:val="Bibliography"/>
    <w:basedOn w:val="Normal"/>
    <w:next w:val="Normal"/>
    <w:uiPriority w:val="37"/>
    <w:unhideWhenUsed/>
    <w:rsid w:val="00CB3FBF"/>
    <w:pPr>
      <w:spacing w:after="0" w:line="480" w:lineRule="auto"/>
      <w:ind w:left="720" w:hanging="720"/>
    </w:pPr>
  </w:style>
  <w:style w:type="paragraph" w:styleId="FootnoteText">
    <w:name w:val="footnote text"/>
    <w:basedOn w:val="Normal"/>
    <w:link w:val="FootnoteTextChar"/>
    <w:uiPriority w:val="99"/>
    <w:semiHidden/>
    <w:unhideWhenUsed/>
    <w:rsid w:val="00454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DA4"/>
    <w:rPr>
      <w:sz w:val="20"/>
      <w:szCs w:val="20"/>
    </w:rPr>
  </w:style>
  <w:style w:type="character" w:styleId="FootnoteReference">
    <w:name w:val="footnote reference"/>
    <w:basedOn w:val="DefaultParagraphFont"/>
    <w:uiPriority w:val="99"/>
    <w:semiHidden/>
    <w:unhideWhenUsed/>
    <w:rsid w:val="00454DA4"/>
    <w:rPr>
      <w:vertAlign w:val="superscript"/>
    </w:rPr>
  </w:style>
  <w:style w:type="paragraph" w:styleId="Header">
    <w:name w:val="header"/>
    <w:basedOn w:val="Normal"/>
    <w:link w:val="HeaderChar"/>
    <w:uiPriority w:val="99"/>
    <w:unhideWhenUsed/>
    <w:rsid w:val="00F7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F8"/>
  </w:style>
  <w:style w:type="paragraph" w:styleId="Footer">
    <w:name w:val="footer"/>
    <w:basedOn w:val="Normal"/>
    <w:link w:val="FooterChar"/>
    <w:uiPriority w:val="99"/>
    <w:unhideWhenUsed/>
    <w:rsid w:val="00F7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F8"/>
  </w:style>
  <w:style w:type="character" w:styleId="Hyperlink">
    <w:name w:val="Hyperlink"/>
    <w:basedOn w:val="DefaultParagraphFont"/>
    <w:uiPriority w:val="99"/>
    <w:unhideWhenUsed/>
    <w:rsid w:val="0032591D"/>
    <w:rPr>
      <w:color w:val="0000FF" w:themeColor="hyperlink"/>
      <w:u w:val="single"/>
    </w:rPr>
  </w:style>
  <w:style w:type="paragraph" w:styleId="NoSpacing">
    <w:name w:val="No Spacing"/>
    <w:basedOn w:val="Normal"/>
    <w:uiPriority w:val="1"/>
    <w:qFormat/>
    <w:rsid w:val="00160E15"/>
    <w:pPr>
      <w:spacing w:before="120" w:after="0" w:line="240" w:lineRule="auto"/>
      <w:jc w:val="both"/>
    </w:pPr>
    <w:rPr>
      <w:rFonts w:ascii="Verdana" w:eastAsia="Arial" w:hAnsi="Verdana" w:cs="Arial"/>
      <w:color w:val="000000"/>
      <w:sz w:val="20"/>
      <w:szCs w:val="20"/>
      <w:lang w:eastAsia="en-GB"/>
    </w:rPr>
  </w:style>
  <w:style w:type="paragraph" w:styleId="Caption">
    <w:name w:val="caption"/>
    <w:basedOn w:val="Normal"/>
    <w:next w:val="Normal"/>
    <w:uiPriority w:val="35"/>
    <w:semiHidden/>
    <w:unhideWhenUsed/>
    <w:qFormat/>
    <w:rsid w:val="00160E15"/>
    <w:pPr>
      <w:spacing w:line="240" w:lineRule="auto"/>
    </w:pPr>
    <w:rPr>
      <w:rFonts w:eastAsia="Arial" w:cs="Arial"/>
      <w:i/>
      <w:iCs/>
      <w:color w:val="1F497D" w:themeColor="text2"/>
      <w:sz w:val="18"/>
      <w:szCs w:val="18"/>
      <w:lang w:eastAsia="en-GB"/>
    </w:rPr>
  </w:style>
  <w:style w:type="paragraph" w:styleId="TableofFigures">
    <w:name w:val="table of figures"/>
    <w:basedOn w:val="Normal"/>
    <w:next w:val="Normal"/>
    <w:uiPriority w:val="99"/>
    <w:semiHidden/>
    <w:unhideWhenUsed/>
    <w:rsid w:val="00160E15"/>
    <w:pPr>
      <w:tabs>
        <w:tab w:val="left" w:leader="dot" w:pos="9072"/>
      </w:tabs>
      <w:spacing w:before="120" w:after="0" w:line="240" w:lineRule="auto"/>
    </w:pPr>
    <w:rPr>
      <w:rFonts w:ascii="Verdana" w:eastAsia="Arial" w:hAnsi="Verdana" w:cs="Arial"/>
      <w:color w:val="000000"/>
      <w:sz w:val="20"/>
      <w:szCs w:val="20"/>
      <w:lang w:eastAsia="en-GB"/>
    </w:rPr>
  </w:style>
  <w:style w:type="character" w:customStyle="1" w:styleId="ListParagraphChar">
    <w:name w:val="List Paragraph Char"/>
    <w:aliases w:val="Liste couleur - Accent 111 Char,Bullets Char,List Paragraph nowy Char,Numbered List Paragraph Char,List Paragraph (numbered (a)) Char,Bioforce zListePuce Char,Glossaire Char,liste de tableaux Char,Titre1 Char,References Char"/>
    <w:link w:val="ListParagraph"/>
    <w:uiPriority w:val="34"/>
    <w:qFormat/>
    <w:rsid w:val="0058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0131">
      <w:bodyDiv w:val="1"/>
      <w:marLeft w:val="0"/>
      <w:marRight w:val="0"/>
      <w:marTop w:val="0"/>
      <w:marBottom w:val="0"/>
      <w:divBdr>
        <w:top w:val="none" w:sz="0" w:space="0" w:color="auto"/>
        <w:left w:val="none" w:sz="0" w:space="0" w:color="auto"/>
        <w:bottom w:val="none" w:sz="0" w:space="0" w:color="auto"/>
        <w:right w:val="none" w:sz="0" w:space="0" w:color="auto"/>
      </w:divBdr>
    </w:div>
    <w:div w:id="941297665">
      <w:bodyDiv w:val="1"/>
      <w:marLeft w:val="0"/>
      <w:marRight w:val="0"/>
      <w:marTop w:val="0"/>
      <w:marBottom w:val="0"/>
      <w:divBdr>
        <w:top w:val="none" w:sz="0" w:space="0" w:color="auto"/>
        <w:left w:val="none" w:sz="0" w:space="0" w:color="auto"/>
        <w:bottom w:val="none" w:sz="0" w:space="0" w:color="auto"/>
        <w:right w:val="none" w:sz="0" w:space="0" w:color="auto"/>
      </w:divBdr>
    </w:div>
    <w:div w:id="16825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endaimonitor.unisdr.org/" TargetMode="External"/><Relationship Id="rId4" Type="http://schemas.microsoft.com/office/2007/relationships/stylesWithEffects" Target="stylesWithEffects.xml"/><Relationship Id="rId9" Type="http://schemas.openxmlformats.org/officeDocument/2006/relationships/hyperlink" Target="https://extranet.who.int/sph/country-plan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86E30B-C164-4867-80AD-1C8AEC49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Rohaida Ismail</dc:creator>
  <cp:lastModifiedBy>Jonathan Abrahams</cp:lastModifiedBy>
  <cp:revision>6</cp:revision>
  <cp:lastPrinted>2018-11-07T15:50:00Z</cp:lastPrinted>
  <dcterms:created xsi:type="dcterms:W3CDTF">2018-11-17T10:14:00Z</dcterms:created>
  <dcterms:modified xsi:type="dcterms:W3CDTF">2018-11-18T11:45:00Z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id="0h08fubF"/&gt;&lt;style id="http://www.zotero.org/styles/apa" locale="en-US" hasBibliography="1" bibliographyStyleHasBeenSet="1"/&gt;&lt;prefs&gt;&lt;pref name="fieldType" value="Field"/&gt;&lt;/prefs&gt;&lt;/data&gt;</vt:lpwstr>
  </property>
</Properties>
</file>