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53" w:rsidRPr="00A67164" w:rsidRDefault="006B1B53" w:rsidP="006B1B53">
      <w:pPr>
        <w:jc w:val="center"/>
        <w:rPr>
          <w:b/>
          <w:sz w:val="20"/>
          <w:szCs w:val="20"/>
        </w:rPr>
      </w:pPr>
      <w:bookmarkStart w:id="0" w:name="_GoBack"/>
      <w:bookmarkEnd w:id="0"/>
      <w:r w:rsidRPr="00A67164">
        <w:rPr>
          <w:b/>
          <w:bCs/>
          <w:color w:val="1F497D"/>
          <w:sz w:val="20"/>
          <w:szCs w:val="20"/>
        </w:rPr>
        <w:t>WHO Technical Guidance Notes on Sendai Framework reporting for Ministries of Health</w:t>
      </w:r>
    </w:p>
    <w:p w:rsidR="006B1B53" w:rsidRDefault="006B1B53" w:rsidP="00CD582D">
      <w:pPr>
        <w:spacing w:after="0" w:line="240" w:lineRule="auto"/>
        <w:jc w:val="both"/>
        <w:rPr>
          <w:b/>
        </w:rPr>
      </w:pPr>
    </w:p>
    <w:p w:rsidR="008B171B" w:rsidRDefault="008B171B" w:rsidP="00CD582D">
      <w:pPr>
        <w:spacing w:after="0" w:line="240" w:lineRule="auto"/>
        <w:jc w:val="both"/>
        <w:rPr>
          <w:b/>
        </w:rPr>
      </w:pPr>
      <w:r>
        <w:rPr>
          <w:b/>
        </w:rPr>
        <w:t>Target</w:t>
      </w:r>
      <w:r w:rsidR="002317CE">
        <w:rPr>
          <w:b/>
        </w:rPr>
        <w:t xml:space="preserve"> D</w:t>
      </w:r>
      <w:r w:rsidRPr="002317CE">
        <w:rPr>
          <w:b/>
        </w:rPr>
        <w:t xml:space="preserve">: </w:t>
      </w:r>
      <w:r w:rsidR="002317CE" w:rsidRPr="002317CE">
        <w:rPr>
          <w:b/>
        </w:rPr>
        <w:t>Substantially reduce disaster damage to critical infrastructure and disruption of basic services, among them health and educational facilities, including through developing their resilience by 2030</w:t>
      </w:r>
    </w:p>
    <w:p w:rsidR="008B171B" w:rsidRDefault="008B171B" w:rsidP="00CD582D">
      <w:pPr>
        <w:spacing w:after="0" w:line="360" w:lineRule="auto"/>
        <w:jc w:val="both"/>
        <w:rPr>
          <w:color w:val="0000CC"/>
        </w:rPr>
      </w:pPr>
    </w:p>
    <w:p w:rsidR="00DC662E" w:rsidRPr="00DC662E" w:rsidRDefault="00DC662E" w:rsidP="00CD582D">
      <w:pPr>
        <w:spacing w:after="0" w:line="240" w:lineRule="auto"/>
        <w:jc w:val="both"/>
      </w:pPr>
      <w:r>
        <w:t xml:space="preserve">Target D refers to </w:t>
      </w:r>
      <w:r w:rsidRPr="00DC662E">
        <w:t>two separate but interconnected situations.  The first is the situation were critical infrastructure</w:t>
      </w:r>
      <w:r w:rsidR="004D2BF2">
        <w:t>, including health facilities,</w:t>
      </w:r>
      <w:r w:rsidRPr="00DC662E">
        <w:t xml:space="preserve"> is damaged (without services being disrupted or compromised in terms of quality) or destroyed, and the second is when basic services</w:t>
      </w:r>
      <w:r w:rsidR="004D2BF2">
        <w:t>, including health services,</w:t>
      </w:r>
      <w:r w:rsidRPr="00DC662E">
        <w:t xml:space="preserve"> are disrupted (which could potentially happen with or without damage).</w:t>
      </w:r>
      <w:r w:rsidR="00A6689C">
        <w:t xml:space="preserve">  The indicators seek to develop a compound figure, D-1, developed from calculating the impact on a range of services including health facilities and services.  The full reporting against Target D requires health data</w:t>
      </w:r>
      <w:r w:rsidR="006B1B53">
        <w:t xml:space="preserve"> and is linked to the economic loss data in Target C</w:t>
      </w:r>
      <w:r w:rsidR="00A6689C">
        <w:t>.</w:t>
      </w:r>
      <w:r w:rsidR="004D2BF2">
        <w:t xml:space="preserve"> </w:t>
      </w:r>
    </w:p>
    <w:p w:rsidR="001335E7" w:rsidRPr="001335E7" w:rsidRDefault="001335E7" w:rsidP="00CD582D">
      <w:pPr>
        <w:spacing w:after="0" w:line="360" w:lineRule="auto"/>
        <w:jc w:val="both"/>
        <w:rPr>
          <w:color w:val="FF0000"/>
        </w:rPr>
      </w:pPr>
    </w:p>
    <w:p w:rsidR="008B171B" w:rsidRDefault="008B171B" w:rsidP="00CD582D">
      <w:pPr>
        <w:pStyle w:val="ListParagraph"/>
        <w:numPr>
          <w:ilvl w:val="0"/>
          <w:numId w:val="1"/>
        </w:numPr>
        <w:spacing w:after="0" w:line="360" w:lineRule="auto"/>
        <w:ind w:left="426"/>
        <w:jc w:val="both"/>
        <w:rPr>
          <w:b/>
        </w:rPr>
      </w:pPr>
      <w:r>
        <w:rPr>
          <w:b/>
        </w:rPr>
        <w:t>Indicator</w:t>
      </w:r>
    </w:p>
    <w:p w:rsidR="00DC662E" w:rsidRDefault="00DC662E" w:rsidP="00CD582D">
      <w:pPr>
        <w:spacing w:after="0" w:line="240" w:lineRule="auto"/>
        <w:jc w:val="both"/>
      </w:pPr>
      <w:r>
        <w:t>The table below lists the indicators recommended by OIEWG for the measurement of global Target D of the Sendai Framework, which were endorsed by the UN General Assembly in its Resolution A/RES/71/276.</w:t>
      </w:r>
    </w:p>
    <w:p w:rsidR="00DC662E" w:rsidRPr="00DC662E" w:rsidRDefault="00DC662E" w:rsidP="00DC662E">
      <w:pPr>
        <w:spacing w:after="0" w:line="240" w:lineRule="auto"/>
      </w:pPr>
    </w:p>
    <w:tbl>
      <w:tblPr>
        <w:tblStyle w:val="MediumGrid3-Accent1"/>
        <w:tblW w:w="4852" w:type="pct"/>
        <w:tblLook w:val="0620" w:firstRow="1" w:lastRow="0" w:firstColumn="0" w:lastColumn="0" w:noHBand="1" w:noVBand="1"/>
      </w:tblPr>
      <w:tblGrid>
        <w:gridCol w:w="576"/>
        <w:gridCol w:w="5205"/>
        <w:gridCol w:w="1273"/>
        <w:gridCol w:w="1914"/>
      </w:tblGrid>
      <w:tr w:rsidR="00C9502E" w:rsidRPr="006F33FC" w:rsidTr="00CD582D">
        <w:trPr>
          <w:cnfStyle w:val="100000000000" w:firstRow="1" w:lastRow="0" w:firstColumn="0" w:lastColumn="0" w:oddVBand="0" w:evenVBand="0" w:oddHBand="0" w:evenHBand="0" w:firstRowFirstColumn="0" w:firstRowLastColumn="0" w:lastRowFirstColumn="0" w:lastRowLastColumn="0"/>
          <w:trHeight w:val="721"/>
        </w:trPr>
        <w:tc>
          <w:tcPr>
            <w:tcW w:w="321" w:type="pct"/>
            <w:vAlign w:val="center"/>
          </w:tcPr>
          <w:p w:rsidR="00C9502E" w:rsidRPr="006F33FC" w:rsidRDefault="00C9502E" w:rsidP="00673E59">
            <w:pPr>
              <w:autoSpaceDE w:val="0"/>
              <w:autoSpaceDN w:val="0"/>
              <w:adjustRightInd w:val="0"/>
              <w:jc w:val="center"/>
              <w:rPr>
                <w:rFonts w:cs="Arial"/>
                <w:bCs w:val="0"/>
                <w:color w:val="FFFFFF"/>
                <w:sz w:val="20"/>
              </w:rPr>
            </w:pPr>
            <w:r w:rsidRPr="006F33FC">
              <w:rPr>
                <w:rFonts w:cs="Arial"/>
                <w:bCs w:val="0"/>
                <w:color w:val="FFFFFF"/>
                <w:sz w:val="20"/>
              </w:rPr>
              <w:t>No.</w:t>
            </w:r>
          </w:p>
        </w:tc>
        <w:tc>
          <w:tcPr>
            <w:tcW w:w="2902" w:type="pct"/>
            <w:vAlign w:val="center"/>
          </w:tcPr>
          <w:p w:rsidR="00C9502E" w:rsidRPr="006F33FC" w:rsidRDefault="00C9502E" w:rsidP="00673E59">
            <w:pPr>
              <w:autoSpaceDE w:val="0"/>
              <w:autoSpaceDN w:val="0"/>
              <w:adjustRightInd w:val="0"/>
              <w:jc w:val="center"/>
              <w:rPr>
                <w:rFonts w:cs="Arial"/>
                <w:bCs w:val="0"/>
                <w:color w:val="FFFFFF"/>
                <w:sz w:val="20"/>
              </w:rPr>
            </w:pPr>
            <w:r w:rsidRPr="006F33FC">
              <w:rPr>
                <w:rFonts w:cs="Arial"/>
                <w:bCs w:val="0"/>
                <w:color w:val="FFFFFF"/>
                <w:sz w:val="20"/>
              </w:rPr>
              <w:t>Indicators for measurement at the global level</w:t>
            </w:r>
          </w:p>
        </w:tc>
        <w:tc>
          <w:tcPr>
            <w:tcW w:w="710" w:type="pct"/>
          </w:tcPr>
          <w:p w:rsidR="00C9502E" w:rsidRPr="006F33FC" w:rsidRDefault="00C9502E" w:rsidP="00673E59">
            <w:pPr>
              <w:autoSpaceDE w:val="0"/>
              <w:autoSpaceDN w:val="0"/>
              <w:adjustRightInd w:val="0"/>
              <w:jc w:val="center"/>
              <w:rPr>
                <w:rFonts w:cs="Arial"/>
                <w:color w:val="FFFFFF"/>
                <w:sz w:val="20"/>
              </w:rPr>
            </w:pPr>
            <w:r>
              <w:rPr>
                <w:rFonts w:cs="Arial"/>
                <w:color w:val="FFFFFF"/>
                <w:sz w:val="20"/>
              </w:rPr>
              <w:t xml:space="preserve">Health data required from </w:t>
            </w:r>
            <w:proofErr w:type="spellStart"/>
            <w:r>
              <w:rPr>
                <w:rFonts w:cs="Arial"/>
                <w:color w:val="FFFFFF"/>
                <w:sz w:val="20"/>
              </w:rPr>
              <w:t>MoH</w:t>
            </w:r>
            <w:proofErr w:type="spellEnd"/>
          </w:p>
        </w:tc>
        <w:tc>
          <w:tcPr>
            <w:tcW w:w="1067" w:type="pct"/>
            <w:vAlign w:val="center"/>
          </w:tcPr>
          <w:p w:rsidR="00C9502E" w:rsidRPr="006F33FC" w:rsidRDefault="00C9502E" w:rsidP="0018368F">
            <w:pPr>
              <w:autoSpaceDE w:val="0"/>
              <w:autoSpaceDN w:val="0"/>
              <w:adjustRightInd w:val="0"/>
              <w:jc w:val="center"/>
              <w:rPr>
                <w:rFonts w:cs="Arial"/>
                <w:bCs w:val="0"/>
                <w:color w:val="FFFFFF"/>
                <w:sz w:val="20"/>
              </w:rPr>
            </w:pPr>
            <w:r w:rsidRPr="006F33FC">
              <w:rPr>
                <w:rFonts w:cs="Arial"/>
                <w:bCs w:val="0"/>
                <w:color w:val="FFFFFF"/>
                <w:sz w:val="20"/>
              </w:rPr>
              <w:t xml:space="preserve">Link to </w:t>
            </w:r>
            <w:r w:rsidR="0018368F">
              <w:rPr>
                <w:rFonts w:cs="Arial"/>
                <w:bCs w:val="0"/>
                <w:color w:val="FFFFFF"/>
                <w:sz w:val="20"/>
              </w:rPr>
              <w:t>SDG</w:t>
            </w:r>
            <w:r w:rsidRPr="006F33FC">
              <w:rPr>
                <w:rFonts w:cs="Arial"/>
                <w:bCs w:val="0"/>
                <w:color w:val="FFFFFF"/>
                <w:sz w:val="20"/>
              </w:rPr>
              <w:t xml:space="preserve"> indicators</w:t>
            </w:r>
          </w:p>
        </w:tc>
      </w:tr>
      <w:tr w:rsidR="00C9502E" w:rsidRPr="006F33FC" w:rsidTr="00CD582D">
        <w:trPr>
          <w:trHeight w:val="721"/>
        </w:trPr>
        <w:tc>
          <w:tcPr>
            <w:tcW w:w="321" w:type="pct"/>
          </w:tcPr>
          <w:p w:rsidR="00C9502E" w:rsidRPr="00B70DE4" w:rsidRDefault="00C9502E" w:rsidP="00673E59">
            <w:pPr>
              <w:autoSpaceDE w:val="0"/>
              <w:autoSpaceDN w:val="0"/>
              <w:adjustRightInd w:val="0"/>
              <w:rPr>
                <w:rFonts w:cs="Arial"/>
                <w:color w:val="000000"/>
              </w:rPr>
            </w:pPr>
            <w:r w:rsidRPr="00B70DE4">
              <w:rPr>
                <w:rFonts w:cs="Arial"/>
                <w:color w:val="000000"/>
              </w:rPr>
              <w:t>D-1</w:t>
            </w:r>
          </w:p>
        </w:tc>
        <w:tc>
          <w:tcPr>
            <w:tcW w:w="2902" w:type="pct"/>
          </w:tcPr>
          <w:p w:rsidR="00C9502E" w:rsidRPr="00B70DE4" w:rsidRDefault="00C9502E" w:rsidP="00CD582D">
            <w:pPr>
              <w:autoSpaceDE w:val="0"/>
              <w:autoSpaceDN w:val="0"/>
              <w:adjustRightInd w:val="0"/>
              <w:jc w:val="both"/>
              <w:rPr>
                <w:rFonts w:cs="Arial"/>
                <w:color w:val="000000"/>
              </w:rPr>
            </w:pPr>
            <w:r w:rsidRPr="00B70DE4">
              <w:rPr>
                <w:rFonts w:cs="Arial"/>
                <w:color w:val="000000"/>
              </w:rPr>
              <w:t>Damage to critical infrastructure attributed to disasters (compound indicator)</w:t>
            </w:r>
          </w:p>
        </w:tc>
        <w:tc>
          <w:tcPr>
            <w:tcW w:w="710" w:type="pct"/>
          </w:tcPr>
          <w:p w:rsidR="00C9502E" w:rsidRDefault="00C9502E" w:rsidP="00943B4D">
            <w:pPr>
              <w:autoSpaceDE w:val="0"/>
              <w:autoSpaceDN w:val="0"/>
              <w:adjustRightInd w:val="0"/>
              <w:rPr>
                <w:rFonts w:cs="Arial"/>
                <w:color w:val="000000"/>
                <w:sz w:val="20"/>
              </w:rPr>
            </w:pPr>
            <w:r>
              <w:rPr>
                <w:rFonts w:cs="Arial"/>
                <w:color w:val="000000"/>
                <w:sz w:val="20"/>
              </w:rPr>
              <w:t xml:space="preserve">Yes </w:t>
            </w:r>
          </w:p>
        </w:tc>
        <w:tc>
          <w:tcPr>
            <w:tcW w:w="1067" w:type="pct"/>
          </w:tcPr>
          <w:p w:rsidR="00C9502E" w:rsidRDefault="00C9502E" w:rsidP="00673E59">
            <w:pPr>
              <w:autoSpaceDE w:val="0"/>
              <w:autoSpaceDN w:val="0"/>
              <w:adjustRightInd w:val="0"/>
              <w:rPr>
                <w:rFonts w:cs="Arial"/>
                <w:color w:val="000000"/>
                <w:sz w:val="20"/>
              </w:rPr>
            </w:pPr>
            <w:r>
              <w:rPr>
                <w:rFonts w:cs="Arial"/>
                <w:color w:val="000000"/>
                <w:sz w:val="20"/>
              </w:rPr>
              <w:t>11.5</w:t>
            </w:r>
          </w:p>
          <w:p w:rsidR="004D2BF2" w:rsidRPr="006F33FC" w:rsidRDefault="004D2BF2" w:rsidP="00673E59">
            <w:pPr>
              <w:autoSpaceDE w:val="0"/>
              <w:autoSpaceDN w:val="0"/>
              <w:adjustRightInd w:val="0"/>
              <w:rPr>
                <w:rFonts w:cs="Arial"/>
                <w:color w:val="000000"/>
                <w:sz w:val="20"/>
              </w:rPr>
            </w:pPr>
            <w:r>
              <w:rPr>
                <w:rFonts w:cs="Arial"/>
                <w:color w:val="000000"/>
                <w:sz w:val="20"/>
              </w:rPr>
              <w:t>Sendai Target C</w:t>
            </w:r>
          </w:p>
        </w:tc>
      </w:tr>
      <w:tr w:rsidR="00C9502E" w:rsidRPr="006F33FC" w:rsidTr="00CD582D">
        <w:trPr>
          <w:trHeight w:val="721"/>
        </w:trPr>
        <w:tc>
          <w:tcPr>
            <w:tcW w:w="321" w:type="pct"/>
          </w:tcPr>
          <w:p w:rsidR="00C9502E" w:rsidRPr="00B70DE4" w:rsidRDefault="00C9502E" w:rsidP="00673E59">
            <w:pPr>
              <w:autoSpaceDE w:val="0"/>
              <w:autoSpaceDN w:val="0"/>
              <w:adjustRightInd w:val="0"/>
              <w:rPr>
                <w:rFonts w:cs="Arial"/>
                <w:bCs/>
                <w:color w:val="000000"/>
              </w:rPr>
            </w:pPr>
            <w:r w:rsidRPr="00B70DE4">
              <w:rPr>
                <w:rFonts w:cs="Arial"/>
                <w:bCs/>
                <w:color w:val="000000"/>
              </w:rPr>
              <w:t>D-2</w:t>
            </w:r>
          </w:p>
        </w:tc>
        <w:tc>
          <w:tcPr>
            <w:tcW w:w="2902" w:type="pct"/>
          </w:tcPr>
          <w:p w:rsidR="00C9502E" w:rsidRPr="00B70DE4" w:rsidRDefault="00C9502E" w:rsidP="00CD582D">
            <w:pPr>
              <w:autoSpaceDE w:val="0"/>
              <w:autoSpaceDN w:val="0"/>
              <w:adjustRightInd w:val="0"/>
              <w:jc w:val="both"/>
              <w:rPr>
                <w:rFonts w:cs="Arial"/>
                <w:bCs/>
                <w:color w:val="000000"/>
              </w:rPr>
            </w:pPr>
            <w:r w:rsidRPr="00B70DE4">
              <w:rPr>
                <w:rFonts w:cs="Arial"/>
                <w:bCs/>
                <w:color w:val="000000"/>
              </w:rPr>
              <w:t>Number of destroyed or damaged health facilities attributed to disasters</w:t>
            </w:r>
          </w:p>
        </w:tc>
        <w:tc>
          <w:tcPr>
            <w:tcW w:w="710" w:type="pct"/>
          </w:tcPr>
          <w:p w:rsidR="00C9502E" w:rsidRPr="006F33FC" w:rsidRDefault="00C9502E" w:rsidP="00673E59">
            <w:pPr>
              <w:autoSpaceDE w:val="0"/>
              <w:autoSpaceDN w:val="0"/>
              <w:adjustRightInd w:val="0"/>
              <w:rPr>
                <w:rFonts w:cs="Arial"/>
                <w:bCs/>
                <w:color w:val="000000"/>
                <w:sz w:val="20"/>
              </w:rPr>
            </w:pPr>
            <w:r>
              <w:rPr>
                <w:rFonts w:cs="Arial"/>
                <w:bCs/>
                <w:color w:val="000000"/>
                <w:sz w:val="20"/>
              </w:rPr>
              <w:t>Yes</w:t>
            </w:r>
          </w:p>
        </w:tc>
        <w:tc>
          <w:tcPr>
            <w:tcW w:w="1067" w:type="pct"/>
          </w:tcPr>
          <w:p w:rsidR="00C9502E" w:rsidRPr="006F33FC" w:rsidRDefault="004D2BF2" w:rsidP="00673E59">
            <w:pPr>
              <w:autoSpaceDE w:val="0"/>
              <w:autoSpaceDN w:val="0"/>
              <w:adjustRightInd w:val="0"/>
              <w:rPr>
                <w:rFonts w:cs="Arial"/>
                <w:bCs/>
                <w:color w:val="000000"/>
                <w:sz w:val="20"/>
              </w:rPr>
            </w:pPr>
            <w:r>
              <w:rPr>
                <w:rFonts w:cs="Arial"/>
                <w:color w:val="000000"/>
                <w:sz w:val="20"/>
              </w:rPr>
              <w:t>Sendai Target C</w:t>
            </w:r>
          </w:p>
        </w:tc>
      </w:tr>
      <w:tr w:rsidR="006B1B53" w:rsidRPr="006F33FC" w:rsidTr="00CD582D">
        <w:trPr>
          <w:trHeight w:val="721"/>
        </w:trPr>
        <w:tc>
          <w:tcPr>
            <w:tcW w:w="321" w:type="pct"/>
          </w:tcPr>
          <w:p w:rsidR="006B1B53" w:rsidRPr="00B70DE4" w:rsidRDefault="006B1B53" w:rsidP="00673E59">
            <w:pPr>
              <w:autoSpaceDE w:val="0"/>
              <w:autoSpaceDN w:val="0"/>
              <w:adjustRightInd w:val="0"/>
              <w:rPr>
                <w:rFonts w:cs="Arial"/>
                <w:bCs/>
                <w:color w:val="000000"/>
              </w:rPr>
            </w:pPr>
            <w:r w:rsidRPr="00B70DE4">
              <w:rPr>
                <w:rFonts w:cs="Arial"/>
                <w:bCs/>
                <w:color w:val="000000"/>
              </w:rPr>
              <w:t>D-3</w:t>
            </w:r>
          </w:p>
        </w:tc>
        <w:tc>
          <w:tcPr>
            <w:tcW w:w="2902" w:type="pct"/>
          </w:tcPr>
          <w:p w:rsidR="006B1B53" w:rsidRPr="00B70DE4" w:rsidRDefault="006B1B53" w:rsidP="00CD582D">
            <w:pPr>
              <w:autoSpaceDE w:val="0"/>
              <w:autoSpaceDN w:val="0"/>
              <w:adjustRightInd w:val="0"/>
              <w:jc w:val="both"/>
              <w:rPr>
                <w:rFonts w:cs="Arial"/>
                <w:bCs/>
                <w:color w:val="000000"/>
              </w:rPr>
            </w:pPr>
            <w:r w:rsidRPr="00B70DE4">
              <w:rPr>
                <w:rFonts w:cs="Arial"/>
                <w:bCs/>
                <w:color w:val="000000"/>
              </w:rPr>
              <w:t>Number of destroyed or damaged educational facilities attributed to disasters</w:t>
            </w:r>
          </w:p>
        </w:tc>
        <w:tc>
          <w:tcPr>
            <w:tcW w:w="710" w:type="pct"/>
          </w:tcPr>
          <w:p w:rsidR="006B1B53" w:rsidRDefault="006B1B53" w:rsidP="00673E59">
            <w:pPr>
              <w:autoSpaceDE w:val="0"/>
              <w:autoSpaceDN w:val="0"/>
              <w:adjustRightInd w:val="0"/>
              <w:rPr>
                <w:rFonts w:cs="Arial"/>
                <w:bCs/>
                <w:color w:val="000000"/>
                <w:sz w:val="20"/>
              </w:rPr>
            </w:pPr>
            <w:r>
              <w:rPr>
                <w:rFonts w:cs="Arial"/>
                <w:bCs/>
                <w:color w:val="000000"/>
                <w:sz w:val="20"/>
              </w:rPr>
              <w:t>No</w:t>
            </w:r>
          </w:p>
        </w:tc>
        <w:tc>
          <w:tcPr>
            <w:tcW w:w="1067" w:type="pct"/>
          </w:tcPr>
          <w:p w:rsidR="006B1B53" w:rsidRPr="006F33FC" w:rsidRDefault="006B1B53" w:rsidP="00673E59">
            <w:pPr>
              <w:autoSpaceDE w:val="0"/>
              <w:autoSpaceDN w:val="0"/>
              <w:adjustRightInd w:val="0"/>
              <w:rPr>
                <w:rFonts w:cs="Arial"/>
                <w:bCs/>
                <w:color w:val="000000"/>
                <w:sz w:val="20"/>
              </w:rPr>
            </w:pPr>
            <w:r w:rsidRPr="001973F2">
              <w:rPr>
                <w:rFonts w:cs="Arial"/>
                <w:color w:val="000000"/>
                <w:sz w:val="20"/>
              </w:rPr>
              <w:t>Sendai Target C</w:t>
            </w:r>
          </w:p>
        </w:tc>
      </w:tr>
      <w:tr w:rsidR="006B1B53" w:rsidRPr="006F33FC" w:rsidTr="00CD582D">
        <w:trPr>
          <w:trHeight w:val="721"/>
        </w:trPr>
        <w:tc>
          <w:tcPr>
            <w:tcW w:w="321" w:type="pct"/>
          </w:tcPr>
          <w:p w:rsidR="006B1B53" w:rsidRPr="00B70DE4" w:rsidRDefault="006B1B53" w:rsidP="00673E59">
            <w:pPr>
              <w:autoSpaceDE w:val="0"/>
              <w:autoSpaceDN w:val="0"/>
              <w:adjustRightInd w:val="0"/>
              <w:rPr>
                <w:rFonts w:cs="Arial"/>
                <w:bCs/>
                <w:color w:val="000000"/>
              </w:rPr>
            </w:pPr>
            <w:r w:rsidRPr="00B70DE4">
              <w:rPr>
                <w:rFonts w:cs="Arial"/>
                <w:bCs/>
                <w:color w:val="000000"/>
              </w:rPr>
              <w:t>D-4</w:t>
            </w:r>
          </w:p>
        </w:tc>
        <w:tc>
          <w:tcPr>
            <w:tcW w:w="2902" w:type="pct"/>
          </w:tcPr>
          <w:p w:rsidR="006B1B53" w:rsidRPr="00B70DE4" w:rsidRDefault="006B1B53" w:rsidP="00CD582D">
            <w:pPr>
              <w:autoSpaceDE w:val="0"/>
              <w:autoSpaceDN w:val="0"/>
              <w:adjustRightInd w:val="0"/>
              <w:jc w:val="both"/>
              <w:rPr>
                <w:rFonts w:cs="Arial"/>
                <w:bCs/>
                <w:color w:val="000000"/>
              </w:rPr>
            </w:pPr>
            <w:r w:rsidRPr="00B70DE4">
              <w:rPr>
                <w:rFonts w:cs="Arial"/>
                <w:bCs/>
                <w:color w:val="000000"/>
              </w:rPr>
              <w:t>Number of other destroyed or damaged critical infrastructure units or facilities attributed to disaster</w:t>
            </w:r>
          </w:p>
        </w:tc>
        <w:tc>
          <w:tcPr>
            <w:tcW w:w="710" w:type="pct"/>
          </w:tcPr>
          <w:p w:rsidR="006B1B53" w:rsidRPr="006F33FC" w:rsidRDefault="006B1B53" w:rsidP="00673E59">
            <w:pPr>
              <w:autoSpaceDE w:val="0"/>
              <w:autoSpaceDN w:val="0"/>
              <w:adjustRightInd w:val="0"/>
              <w:rPr>
                <w:rFonts w:cs="Arial"/>
                <w:bCs/>
                <w:color w:val="000000"/>
                <w:sz w:val="20"/>
              </w:rPr>
            </w:pPr>
            <w:r>
              <w:rPr>
                <w:rFonts w:cs="Arial"/>
                <w:bCs/>
                <w:color w:val="000000"/>
                <w:sz w:val="20"/>
              </w:rPr>
              <w:t>No</w:t>
            </w:r>
          </w:p>
        </w:tc>
        <w:tc>
          <w:tcPr>
            <w:tcW w:w="1067" w:type="pct"/>
          </w:tcPr>
          <w:p w:rsidR="006B1B53" w:rsidRPr="006F33FC" w:rsidRDefault="006B1B53" w:rsidP="00673E59">
            <w:pPr>
              <w:autoSpaceDE w:val="0"/>
              <w:autoSpaceDN w:val="0"/>
              <w:adjustRightInd w:val="0"/>
              <w:rPr>
                <w:rFonts w:cs="Arial"/>
                <w:bCs/>
                <w:color w:val="000000"/>
                <w:sz w:val="20"/>
              </w:rPr>
            </w:pPr>
            <w:r w:rsidRPr="001973F2">
              <w:rPr>
                <w:rFonts w:cs="Arial"/>
                <w:color w:val="000000"/>
                <w:sz w:val="20"/>
              </w:rPr>
              <w:t>Sendai Target C</w:t>
            </w:r>
          </w:p>
        </w:tc>
      </w:tr>
      <w:tr w:rsidR="006B1B53" w:rsidRPr="006F33FC" w:rsidTr="00CD582D">
        <w:trPr>
          <w:trHeight w:val="721"/>
        </w:trPr>
        <w:tc>
          <w:tcPr>
            <w:tcW w:w="321" w:type="pct"/>
          </w:tcPr>
          <w:p w:rsidR="006B1B53" w:rsidRPr="00B70DE4" w:rsidRDefault="006B1B53" w:rsidP="00673E59">
            <w:pPr>
              <w:autoSpaceDE w:val="0"/>
              <w:autoSpaceDN w:val="0"/>
              <w:adjustRightInd w:val="0"/>
              <w:rPr>
                <w:rFonts w:cs="Arial"/>
                <w:bCs/>
                <w:color w:val="000000"/>
              </w:rPr>
            </w:pPr>
            <w:r w:rsidRPr="00B70DE4">
              <w:rPr>
                <w:rFonts w:cs="Arial"/>
                <w:bCs/>
                <w:color w:val="000000"/>
              </w:rPr>
              <w:t>D-5</w:t>
            </w:r>
          </w:p>
        </w:tc>
        <w:tc>
          <w:tcPr>
            <w:tcW w:w="2902" w:type="pct"/>
          </w:tcPr>
          <w:p w:rsidR="006B1B53" w:rsidRPr="00B70DE4" w:rsidRDefault="006B1B53" w:rsidP="00CD582D">
            <w:pPr>
              <w:autoSpaceDE w:val="0"/>
              <w:autoSpaceDN w:val="0"/>
              <w:adjustRightInd w:val="0"/>
              <w:jc w:val="both"/>
              <w:rPr>
                <w:rFonts w:cs="Arial"/>
                <w:bCs/>
                <w:color w:val="000000"/>
              </w:rPr>
            </w:pPr>
            <w:r w:rsidRPr="00B70DE4">
              <w:rPr>
                <w:rFonts w:cs="Arial"/>
                <w:bCs/>
                <w:color w:val="000000"/>
              </w:rPr>
              <w:t>Number of disruptions to basic services attributed to disasters (compound indicator)</w:t>
            </w:r>
          </w:p>
        </w:tc>
        <w:tc>
          <w:tcPr>
            <w:tcW w:w="710" w:type="pct"/>
          </w:tcPr>
          <w:p w:rsidR="006B1B53" w:rsidRPr="006F33FC" w:rsidRDefault="006B1B53" w:rsidP="00673E59">
            <w:pPr>
              <w:autoSpaceDE w:val="0"/>
              <w:autoSpaceDN w:val="0"/>
              <w:adjustRightInd w:val="0"/>
              <w:rPr>
                <w:rFonts w:cs="Arial"/>
                <w:bCs/>
                <w:color w:val="000000"/>
                <w:sz w:val="20"/>
              </w:rPr>
            </w:pPr>
            <w:r>
              <w:rPr>
                <w:rFonts w:cs="Arial"/>
                <w:bCs/>
                <w:color w:val="000000"/>
                <w:sz w:val="20"/>
              </w:rPr>
              <w:t>Yes</w:t>
            </w:r>
          </w:p>
        </w:tc>
        <w:tc>
          <w:tcPr>
            <w:tcW w:w="1067" w:type="pct"/>
          </w:tcPr>
          <w:p w:rsidR="006B1B53" w:rsidRPr="006F33FC" w:rsidRDefault="006B1B53" w:rsidP="00673E59">
            <w:pPr>
              <w:autoSpaceDE w:val="0"/>
              <w:autoSpaceDN w:val="0"/>
              <w:adjustRightInd w:val="0"/>
              <w:rPr>
                <w:rFonts w:cs="Arial"/>
                <w:bCs/>
                <w:color w:val="000000"/>
                <w:sz w:val="20"/>
              </w:rPr>
            </w:pPr>
            <w:r w:rsidRPr="001973F2">
              <w:rPr>
                <w:rFonts w:cs="Arial"/>
                <w:color w:val="000000"/>
                <w:sz w:val="20"/>
              </w:rPr>
              <w:t>Sendai Target C</w:t>
            </w:r>
          </w:p>
        </w:tc>
      </w:tr>
      <w:tr w:rsidR="006B1B53" w:rsidRPr="006F33FC" w:rsidTr="00CD582D">
        <w:trPr>
          <w:trHeight w:val="721"/>
        </w:trPr>
        <w:tc>
          <w:tcPr>
            <w:tcW w:w="321" w:type="pct"/>
          </w:tcPr>
          <w:p w:rsidR="006B1B53" w:rsidRPr="00B70DE4" w:rsidRDefault="006B1B53" w:rsidP="00673E59">
            <w:pPr>
              <w:autoSpaceDE w:val="0"/>
              <w:autoSpaceDN w:val="0"/>
              <w:adjustRightInd w:val="0"/>
              <w:rPr>
                <w:rFonts w:cs="Arial"/>
                <w:bCs/>
                <w:color w:val="000000"/>
              </w:rPr>
            </w:pPr>
            <w:r w:rsidRPr="00B70DE4">
              <w:rPr>
                <w:rFonts w:cs="Arial"/>
                <w:bCs/>
                <w:color w:val="000000"/>
              </w:rPr>
              <w:t>D-6</w:t>
            </w:r>
          </w:p>
        </w:tc>
        <w:tc>
          <w:tcPr>
            <w:tcW w:w="2902" w:type="pct"/>
          </w:tcPr>
          <w:p w:rsidR="006B1B53" w:rsidRPr="00B70DE4" w:rsidRDefault="006B1B53" w:rsidP="00CD582D">
            <w:pPr>
              <w:autoSpaceDE w:val="0"/>
              <w:autoSpaceDN w:val="0"/>
              <w:adjustRightInd w:val="0"/>
              <w:jc w:val="both"/>
              <w:rPr>
                <w:rFonts w:cs="Arial"/>
                <w:bCs/>
                <w:color w:val="000000"/>
              </w:rPr>
            </w:pPr>
            <w:r w:rsidRPr="00B70DE4">
              <w:rPr>
                <w:rFonts w:cs="Arial"/>
                <w:bCs/>
                <w:color w:val="000000"/>
              </w:rPr>
              <w:t>Number of disruptions to educational services attributed to disasters</w:t>
            </w:r>
          </w:p>
        </w:tc>
        <w:tc>
          <w:tcPr>
            <w:tcW w:w="710" w:type="pct"/>
          </w:tcPr>
          <w:p w:rsidR="006B1B53" w:rsidRPr="006F33FC" w:rsidRDefault="006B1B53" w:rsidP="00673E59">
            <w:pPr>
              <w:autoSpaceDE w:val="0"/>
              <w:autoSpaceDN w:val="0"/>
              <w:adjustRightInd w:val="0"/>
              <w:rPr>
                <w:rFonts w:cs="Arial"/>
                <w:bCs/>
                <w:color w:val="000000"/>
                <w:sz w:val="20"/>
              </w:rPr>
            </w:pPr>
            <w:r>
              <w:rPr>
                <w:rFonts w:cs="Arial"/>
                <w:bCs/>
                <w:color w:val="000000"/>
                <w:sz w:val="20"/>
              </w:rPr>
              <w:t>No</w:t>
            </w:r>
          </w:p>
        </w:tc>
        <w:tc>
          <w:tcPr>
            <w:tcW w:w="1067" w:type="pct"/>
          </w:tcPr>
          <w:p w:rsidR="006B1B53" w:rsidRPr="006F33FC" w:rsidRDefault="006B1B53" w:rsidP="00673E59">
            <w:pPr>
              <w:autoSpaceDE w:val="0"/>
              <w:autoSpaceDN w:val="0"/>
              <w:adjustRightInd w:val="0"/>
              <w:rPr>
                <w:rFonts w:cs="Arial"/>
                <w:bCs/>
                <w:color w:val="000000"/>
                <w:sz w:val="20"/>
              </w:rPr>
            </w:pPr>
            <w:r w:rsidRPr="001973F2">
              <w:rPr>
                <w:rFonts w:cs="Arial"/>
                <w:color w:val="000000"/>
                <w:sz w:val="20"/>
              </w:rPr>
              <w:t>Sendai Target C</w:t>
            </w:r>
          </w:p>
        </w:tc>
      </w:tr>
      <w:tr w:rsidR="006B1B53" w:rsidRPr="006F33FC" w:rsidTr="00CD582D">
        <w:trPr>
          <w:trHeight w:val="721"/>
        </w:trPr>
        <w:tc>
          <w:tcPr>
            <w:tcW w:w="321" w:type="pct"/>
          </w:tcPr>
          <w:p w:rsidR="006B1B53" w:rsidRPr="00B70DE4" w:rsidRDefault="006B1B53" w:rsidP="00673E59">
            <w:pPr>
              <w:autoSpaceDE w:val="0"/>
              <w:autoSpaceDN w:val="0"/>
              <w:adjustRightInd w:val="0"/>
              <w:rPr>
                <w:rFonts w:cs="Arial"/>
                <w:bCs/>
                <w:color w:val="000000"/>
              </w:rPr>
            </w:pPr>
            <w:r w:rsidRPr="00B70DE4">
              <w:rPr>
                <w:rFonts w:cs="Arial"/>
                <w:bCs/>
                <w:color w:val="000000"/>
              </w:rPr>
              <w:t>D-7</w:t>
            </w:r>
          </w:p>
        </w:tc>
        <w:tc>
          <w:tcPr>
            <w:tcW w:w="2902" w:type="pct"/>
          </w:tcPr>
          <w:p w:rsidR="006B1B53" w:rsidRPr="00B70DE4" w:rsidRDefault="006B1B53" w:rsidP="00CD582D">
            <w:pPr>
              <w:autoSpaceDE w:val="0"/>
              <w:autoSpaceDN w:val="0"/>
              <w:adjustRightInd w:val="0"/>
              <w:jc w:val="both"/>
              <w:rPr>
                <w:rFonts w:cs="Arial"/>
                <w:bCs/>
                <w:color w:val="000000"/>
              </w:rPr>
            </w:pPr>
            <w:r w:rsidRPr="00B70DE4">
              <w:rPr>
                <w:rFonts w:cs="Arial"/>
                <w:bCs/>
                <w:color w:val="000000"/>
              </w:rPr>
              <w:t>Number of disruptions to health services attributed to disasters</w:t>
            </w:r>
          </w:p>
        </w:tc>
        <w:tc>
          <w:tcPr>
            <w:tcW w:w="710" w:type="pct"/>
          </w:tcPr>
          <w:p w:rsidR="006B1B53" w:rsidRPr="006F33FC" w:rsidRDefault="006B1B53" w:rsidP="00673E59">
            <w:pPr>
              <w:autoSpaceDE w:val="0"/>
              <w:autoSpaceDN w:val="0"/>
              <w:adjustRightInd w:val="0"/>
              <w:rPr>
                <w:rFonts w:cs="Arial"/>
                <w:bCs/>
                <w:color w:val="000000"/>
                <w:sz w:val="20"/>
              </w:rPr>
            </w:pPr>
            <w:r>
              <w:rPr>
                <w:rFonts w:cs="Arial"/>
                <w:bCs/>
                <w:color w:val="000000"/>
                <w:sz w:val="20"/>
              </w:rPr>
              <w:t>Yes</w:t>
            </w:r>
          </w:p>
        </w:tc>
        <w:tc>
          <w:tcPr>
            <w:tcW w:w="1067" w:type="pct"/>
          </w:tcPr>
          <w:p w:rsidR="006B1B53" w:rsidRPr="006F33FC" w:rsidRDefault="006B1B53" w:rsidP="00673E59">
            <w:pPr>
              <w:autoSpaceDE w:val="0"/>
              <w:autoSpaceDN w:val="0"/>
              <w:adjustRightInd w:val="0"/>
              <w:rPr>
                <w:rFonts w:cs="Arial"/>
                <w:bCs/>
                <w:color w:val="000000"/>
                <w:sz w:val="20"/>
              </w:rPr>
            </w:pPr>
            <w:r w:rsidRPr="001973F2">
              <w:rPr>
                <w:rFonts w:cs="Arial"/>
                <w:color w:val="000000"/>
                <w:sz w:val="20"/>
              </w:rPr>
              <w:t>Sendai Target C</w:t>
            </w:r>
          </w:p>
        </w:tc>
      </w:tr>
      <w:tr w:rsidR="006B1B53" w:rsidRPr="006F33FC" w:rsidTr="00CD582D">
        <w:trPr>
          <w:trHeight w:val="721"/>
        </w:trPr>
        <w:tc>
          <w:tcPr>
            <w:tcW w:w="321" w:type="pct"/>
          </w:tcPr>
          <w:p w:rsidR="006B1B53" w:rsidRPr="00B70DE4" w:rsidRDefault="006B1B53" w:rsidP="00673E59">
            <w:pPr>
              <w:autoSpaceDE w:val="0"/>
              <w:autoSpaceDN w:val="0"/>
              <w:adjustRightInd w:val="0"/>
              <w:rPr>
                <w:rFonts w:cs="Arial"/>
                <w:bCs/>
                <w:color w:val="000000"/>
              </w:rPr>
            </w:pPr>
            <w:r w:rsidRPr="00B70DE4">
              <w:rPr>
                <w:rFonts w:cs="Arial"/>
                <w:bCs/>
                <w:color w:val="000000"/>
              </w:rPr>
              <w:t>D-8</w:t>
            </w:r>
          </w:p>
        </w:tc>
        <w:tc>
          <w:tcPr>
            <w:tcW w:w="2902" w:type="pct"/>
          </w:tcPr>
          <w:p w:rsidR="006B1B53" w:rsidRPr="00B70DE4" w:rsidRDefault="006B1B53" w:rsidP="00CD582D">
            <w:pPr>
              <w:autoSpaceDE w:val="0"/>
              <w:autoSpaceDN w:val="0"/>
              <w:adjustRightInd w:val="0"/>
              <w:jc w:val="both"/>
              <w:rPr>
                <w:rFonts w:cs="Arial"/>
                <w:bCs/>
                <w:color w:val="000000"/>
              </w:rPr>
            </w:pPr>
            <w:r w:rsidRPr="00B70DE4">
              <w:rPr>
                <w:rFonts w:cs="Arial"/>
                <w:bCs/>
                <w:color w:val="000000"/>
              </w:rPr>
              <w:t>Number of disruptions to other basic services attributed to disasters</w:t>
            </w:r>
          </w:p>
        </w:tc>
        <w:tc>
          <w:tcPr>
            <w:tcW w:w="710" w:type="pct"/>
          </w:tcPr>
          <w:p w:rsidR="006B1B53" w:rsidRPr="006F33FC" w:rsidRDefault="006B1B53" w:rsidP="00673E59">
            <w:pPr>
              <w:autoSpaceDE w:val="0"/>
              <w:autoSpaceDN w:val="0"/>
              <w:adjustRightInd w:val="0"/>
              <w:rPr>
                <w:rFonts w:cs="Arial"/>
                <w:bCs/>
                <w:color w:val="000000"/>
                <w:sz w:val="20"/>
              </w:rPr>
            </w:pPr>
            <w:r>
              <w:rPr>
                <w:rFonts w:cs="Arial"/>
                <w:bCs/>
                <w:color w:val="000000"/>
                <w:sz w:val="20"/>
              </w:rPr>
              <w:t>No</w:t>
            </w:r>
          </w:p>
        </w:tc>
        <w:tc>
          <w:tcPr>
            <w:tcW w:w="1067" w:type="pct"/>
          </w:tcPr>
          <w:p w:rsidR="006B1B53" w:rsidRPr="006F33FC" w:rsidRDefault="006B1B53" w:rsidP="00673E59">
            <w:pPr>
              <w:autoSpaceDE w:val="0"/>
              <w:autoSpaceDN w:val="0"/>
              <w:adjustRightInd w:val="0"/>
              <w:rPr>
                <w:rFonts w:cs="Arial"/>
                <w:bCs/>
                <w:color w:val="000000"/>
                <w:sz w:val="20"/>
              </w:rPr>
            </w:pPr>
            <w:r w:rsidRPr="001973F2">
              <w:rPr>
                <w:rFonts w:cs="Arial"/>
                <w:color w:val="000000"/>
                <w:sz w:val="20"/>
              </w:rPr>
              <w:t>Sendai Target C</w:t>
            </w:r>
          </w:p>
        </w:tc>
      </w:tr>
    </w:tbl>
    <w:p w:rsidR="001335E7" w:rsidRDefault="001335E7" w:rsidP="001335E7">
      <w:pPr>
        <w:pStyle w:val="ListParagraph"/>
        <w:spacing w:after="0" w:line="360" w:lineRule="auto"/>
        <w:ind w:left="426"/>
        <w:rPr>
          <w:b/>
        </w:rPr>
      </w:pPr>
    </w:p>
    <w:p w:rsidR="00375E2D" w:rsidRDefault="001335E7" w:rsidP="00E70D5D">
      <w:pPr>
        <w:pStyle w:val="ListParagraph"/>
        <w:numPr>
          <w:ilvl w:val="0"/>
          <w:numId w:val="1"/>
        </w:numPr>
        <w:spacing w:after="0" w:line="360" w:lineRule="auto"/>
        <w:ind w:left="426"/>
        <w:rPr>
          <w:b/>
        </w:rPr>
      </w:pPr>
      <w:r>
        <w:rPr>
          <w:b/>
        </w:rPr>
        <w:t>Policy context</w:t>
      </w:r>
    </w:p>
    <w:tbl>
      <w:tblPr>
        <w:tblStyle w:val="MediumGrid3-Accent1"/>
        <w:tblW w:w="5008" w:type="pct"/>
        <w:tblLook w:val="0680" w:firstRow="0" w:lastRow="0" w:firstColumn="1" w:lastColumn="0" w:noHBand="1" w:noVBand="1"/>
      </w:tblPr>
      <w:tblGrid>
        <w:gridCol w:w="2453"/>
        <w:gridCol w:w="6804"/>
      </w:tblGrid>
      <w:tr w:rsidR="008B171B" w:rsidRPr="008670DF"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Pr="008670DF" w:rsidRDefault="008B171B" w:rsidP="00673E59">
            <w:pPr>
              <w:rPr>
                <w:sz w:val="20"/>
                <w:szCs w:val="20"/>
              </w:rPr>
            </w:pPr>
            <w:r w:rsidRPr="008670DF">
              <w:rPr>
                <w:sz w:val="20"/>
                <w:szCs w:val="20"/>
              </w:rPr>
              <w:lastRenderedPageBreak/>
              <w:t xml:space="preserve">Why </w:t>
            </w:r>
            <w:r w:rsidR="00A45DCA">
              <w:rPr>
                <w:sz w:val="20"/>
                <w:szCs w:val="20"/>
              </w:rPr>
              <w:t xml:space="preserve">is this </w:t>
            </w:r>
            <w:r w:rsidRPr="008670DF">
              <w:rPr>
                <w:sz w:val="20"/>
                <w:szCs w:val="20"/>
              </w:rPr>
              <w:t>important</w:t>
            </w:r>
            <w:r w:rsidR="00A45DCA">
              <w:rPr>
                <w:sz w:val="20"/>
                <w:szCs w:val="20"/>
              </w:rPr>
              <w:t>?</w:t>
            </w:r>
          </w:p>
        </w:tc>
        <w:tc>
          <w:tcPr>
            <w:tcW w:w="3675" w:type="pct"/>
            <w:vAlign w:val="center"/>
          </w:tcPr>
          <w:p w:rsidR="008B171B" w:rsidRPr="00A31C18" w:rsidRDefault="00DE7F6E" w:rsidP="006B1B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A31C18">
              <w:rPr>
                <w:rFonts w:cs="Arial"/>
                <w:bCs/>
              </w:rPr>
              <w:t xml:space="preserve">Damage to healthcare facilities </w:t>
            </w:r>
            <w:r w:rsidR="004D2BF2">
              <w:rPr>
                <w:rFonts w:cs="Arial"/>
                <w:bCs/>
              </w:rPr>
              <w:t xml:space="preserve">is important because of </w:t>
            </w:r>
            <w:r w:rsidR="006B1B53">
              <w:rPr>
                <w:rFonts w:cs="Arial"/>
                <w:bCs/>
              </w:rPr>
              <w:t xml:space="preserve">the </w:t>
            </w:r>
            <w:r w:rsidR="004D2BF2">
              <w:rPr>
                <w:rFonts w:cs="Arial"/>
                <w:bCs/>
              </w:rPr>
              <w:t xml:space="preserve">costs of repair and rebuilding of key community and health </w:t>
            </w:r>
            <w:r w:rsidR="006B1B53">
              <w:rPr>
                <w:rFonts w:cs="Arial"/>
                <w:bCs/>
              </w:rPr>
              <w:t>assets</w:t>
            </w:r>
            <w:r w:rsidR="004D2BF2">
              <w:rPr>
                <w:rFonts w:cs="Arial"/>
                <w:bCs/>
              </w:rPr>
              <w:t xml:space="preserve">(see Target C) and the likelihood of </w:t>
            </w:r>
            <w:r w:rsidRPr="00A31C18">
              <w:rPr>
                <w:rFonts w:cs="Arial"/>
                <w:bCs/>
              </w:rPr>
              <w:t>disrupt</w:t>
            </w:r>
            <w:r w:rsidR="004D2BF2">
              <w:rPr>
                <w:rFonts w:cs="Arial"/>
                <w:bCs/>
              </w:rPr>
              <w:t xml:space="preserve">ion to </w:t>
            </w:r>
            <w:r w:rsidRPr="00A31C18">
              <w:rPr>
                <w:rFonts w:cs="Arial"/>
                <w:bCs/>
              </w:rPr>
              <w:t xml:space="preserve"> health services provide</w:t>
            </w:r>
            <w:r w:rsidR="00A6689C" w:rsidRPr="00A31C18">
              <w:rPr>
                <w:rFonts w:cs="Arial"/>
                <w:bCs/>
              </w:rPr>
              <w:t>d</w:t>
            </w:r>
            <w:r w:rsidRPr="00A31C18">
              <w:rPr>
                <w:rFonts w:cs="Arial"/>
                <w:bCs/>
              </w:rPr>
              <w:t xml:space="preserve"> to affected population</w:t>
            </w:r>
            <w:r w:rsidR="006B1B53">
              <w:rPr>
                <w:rFonts w:cs="Arial"/>
                <w:bCs/>
              </w:rPr>
              <w:t>s</w:t>
            </w:r>
            <w:r w:rsidRPr="00A31C18">
              <w:rPr>
                <w:rFonts w:cs="Arial"/>
                <w:bCs/>
              </w:rPr>
              <w:t xml:space="preserve"> during </w:t>
            </w:r>
            <w:r w:rsidR="004D2BF2">
              <w:rPr>
                <w:rFonts w:cs="Arial"/>
                <w:bCs/>
              </w:rPr>
              <w:t xml:space="preserve">and after </w:t>
            </w:r>
            <w:r w:rsidR="00A6689C" w:rsidRPr="00A31C18">
              <w:rPr>
                <w:rFonts w:cs="Arial"/>
                <w:bCs/>
              </w:rPr>
              <w:t>hazard events</w:t>
            </w:r>
            <w:r w:rsidRPr="00A31C18">
              <w:rPr>
                <w:rFonts w:cs="Arial"/>
                <w:bCs/>
              </w:rPr>
              <w:t>.</w:t>
            </w:r>
            <w:r w:rsidR="004D2BF2">
              <w:rPr>
                <w:rFonts w:cs="Arial"/>
                <w:bCs/>
              </w:rPr>
              <w:t xml:space="preserve"> Disruption may also be the result of </w:t>
            </w:r>
            <w:r w:rsidR="008C5965">
              <w:rPr>
                <w:rFonts w:cs="Arial"/>
                <w:bCs/>
              </w:rPr>
              <w:t xml:space="preserve">the disruption to other services upon which the functioning of the health facility depends, for example, power or water supply, supply chain or the unavailability of staff who have been affected by the event. </w:t>
            </w:r>
            <w:r w:rsidRPr="00A31C18">
              <w:rPr>
                <w:rFonts w:cs="Arial"/>
                <w:bCs/>
              </w:rPr>
              <w:t xml:space="preserve"> Increase</w:t>
            </w:r>
            <w:r w:rsidR="004D2BF2">
              <w:rPr>
                <w:rFonts w:cs="Arial"/>
                <w:bCs/>
              </w:rPr>
              <w:t>d</w:t>
            </w:r>
            <w:r w:rsidRPr="00A31C18">
              <w:rPr>
                <w:rFonts w:cs="Arial"/>
                <w:bCs/>
              </w:rPr>
              <w:t xml:space="preserve"> cases of disease and death related to disasters</w:t>
            </w:r>
            <w:r w:rsidR="00C20106" w:rsidRPr="00A31C18">
              <w:rPr>
                <w:rFonts w:cs="Arial"/>
                <w:bCs/>
              </w:rPr>
              <w:t xml:space="preserve"> are the expected </w:t>
            </w:r>
            <w:r w:rsidR="004D2BF2">
              <w:rPr>
                <w:rFonts w:cs="Arial"/>
                <w:bCs/>
              </w:rPr>
              <w:t xml:space="preserve">health </w:t>
            </w:r>
            <w:r w:rsidR="00C20106" w:rsidRPr="00A31C18">
              <w:rPr>
                <w:rFonts w:cs="Arial"/>
                <w:bCs/>
              </w:rPr>
              <w:t>consequences</w:t>
            </w:r>
            <w:r w:rsidRPr="00A31C18">
              <w:rPr>
                <w:rFonts w:cs="Arial"/>
                <w:bCs/>
              </w:rPr>
              <w:t xml:space="preserve"> </w:t>
            </w:r>
            <w:r w:rsidR="00C20106" w:rsidRPr="00A31C18">
              <w:rPr>
                <w:rFonts w:cs="Arial"/>
                <w:bCs/>
              </w:rPr>
              <w:t>from failure to access</w:t>
            </w:r>
            <w:r w:rsidRPr="00A31C18">
              <w:rPr>
                <w:rFonts w:cs="Arial"/>
                <w:bCs/>
              </w:rPr>
              <w:t xml:space="preserve"> health and basic services</w:t>
            </w:r>
            <w:r w:rsidR="00C20106" w:rsidRPr="00A31C18">
              <w:rPr>
                <w:rFonts w:cs="Arial"/>
                <w:bCs/>
              </w:rPr>
              <w:t xml:space="preserve"> during and after disaster</w:t>
            </w:r>
            <w:r w:rsidR="00A6689C" w:rsidRPr="00A31C18">
              <w:rPr>
                <w:rFonts w:cs="Arial"/>
                <w:bCs/>
              </w:rPr>
              <w:t>s</w:t>
            </w:r>
            <w:r w:rsidR="00C20106" w:rsidRPr="00A31C18">
              <w:rPr>
                <w:rFonts w:cs="Arial"/>
                <w:bCs/>
              </w:rPr>
              <w:t>. For example, patients</w:t>
            </w:r>
            <w:r w:rsidR="00C9502E" w:rsidRPr="00A31C18">
              <w:rPr>
                <w:rFonts w:cs="Arial"/>
                <w:bCs/>
              </w:rPr>
              <w:t xml:space="preserve"> with chronic conditions</w:t>
            </w:r>
            <w:r w:rsidR="00C20106" w:rsidRPr="00A31C18">
              <w:rPr>
                <w:rFonts w:cs="Arial"/>
                <w:bCs/>
              </w:rPr>
              <w:t xml:space="preserve"> unable to get medical supply and potentially develop complication</w:t>
            </w:r>
            <w:r w:rsidR="00A6689C" w:rsidRPr="00A31C18">
              <w:rPr>
                <w:rFonts w:cs="Arial"/>
                <w:bCs/>
              </w:rPr>
              <w:t>s</w:t>
            </w:r>
            <w:r w:rsidR="00C20106" w:rsidRPr="00A31C18">
              <w:rPr>
                <w:rFonts w:cs="Arial"/>
                <w:bCs/>
              </w:rPr>
              <w:t xml:space="preserve">, or interrupted safe water supply leading to contaminated water and risk of food water borne outbreak. </w:t>
            </w:r>
          </w:p>
          <w:p w:rsidR="00A6689C" w:rsidRPr="00A31C18" w:rsidRDefault="008350D6" w:rsidP="006B1B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 xml:space="preserve"> </w:t>
            </w:r>
            <w:r w:rsidR="00A6689C" w:rsidRPr="00A31C18">
              <w:rPr>
                <w:rFonts w:cs="Arial"/>
                <w:bCs/>
              </w:rPr>
              <w:t xml:space="preserve">Data held by </w:t>
            </w:r>
            <w:r w:rsidR="00015422" w:rsidRPr="00A31C18">
              <w:rPr>
                <w:rFonts w:cs="Arial"/>
                <w:bCs/>
              </w:rPr>
              <w:t>Ministries</w:t>
            </w:r>
            <w:r w:rsidR="00A6689C" w:rsidRPr="00A31C18">
              <w:rPr>
                <w:rFonts w:cs="Arial"/>
                <w:bCs/>
              </w:rPr>
              <w:t xml:space="preserve"> of Health</w:t>
            </w:r>
            <w:r w:rsidR="008C5965">
              <w:rPr>
                <w:rFonts w:cs="Arial"/>
                <w:bCs/>
              </w:rPr>
              <w:t xml:space="preserve"> </w:t>
            </w:r>
            <w:r w:rsidR="00A6689C" w:rsidRPr="00A31C18">
              <w:rPr>
                <w:rFonts w:cs="Arial"/>
                <w:bCs/>
              </w:rPr>
              <w:t xml:space="preserve">is vital in ensuring that full reporting </w:t>
            </w:r>
            <w:r w:rsidR="008C5965">
              <w:rPr>
                <w:rFonts w:cs="Arial"/>
                <w:bCs/>
              </w:rPr>
              <w:t>of damage and disruption to health service</w:t>
            </w:r>
            <w:r w:rsidR="00A6689C" w:rsidRPr="00A31C18">
              <w:rPr>
                <w:rFonts w:cs="Arial"/>
                <w:bCs/>
              </w:rPr>
              <w:t xml:space="preserve">s undertaken after each event. </w:t>
            </w:r>
          </w:p>
        </w:tc>
      </w:tr>
      <w:tr w:rsidR="008B171B" w:rsidRPr="008670DF" w:rsidTr="00276C2A">
        <w:trPr>
          <w:trHeight w:val="127"/>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Pr="0010702C" w:rsidRDefault="008B171B" w:rsidP="00673E59">
            <w:pPr>
              <w:rPr>
                <w:sz w:val="20"/>
                <w:szCs w:val="20"/>
              </w:rPr>
            </w:pPr>
            <w:r w:rsidRPr="008670DF">
              <w:rPr>
                <w:sz w:val="20"/>
                <w:szCs w:val="20"/>
              </w:rPr>
              <w:t>Baseline data and variation</w:t>
            </w:r>
          </w:p>
        </w:tc>
        <w:tc>
          <w:tcPr>
            <w:tcW w:w="3675" w:type="pct"/>
            <w:vAlign w:val="center"/>
          </w:tcPr>
          <w:p w:rsidR="007575E7" w:rsidRPr="00A31C18" w:rsidRDefault="007575E7" w:rsidP="002310FC">
            <w:pPr>
              <w:pStyle w:val="ListParagraph"/>
              <w:numPr>
                <w:ilvl w:val="0"/>
                <w:numId w:val="27"/>
              </w:numPr>
              <w:ind w:left="241" w:hanging="241"/>
              <w:cnfStyle w:val="000000000000" w:firstRow="0" w:lastRow="0" w:firstColumn="0" w:lastColumn="0" w:oddVBand="0" w:evenVBand="0" w:oddHBand="0" w:evenHBand="0" w:firstRowFirstColumn="0" w:firstRowLastColumn="0" w:lastRowFirstColumn="0" w:lastRowLastColumn="0"/>
            </w:pPr>
            <w:r w:rsidRPr="00A31C18">
              <w:t xml:space="preserve">For Member States that have been working with the </w:t>
            </w:r>
            <w:proofErr w:type="spellStart"/>
            <w:r w:rsidRPr="00A31C18">
              <w:t>DesInventar</w:t>
            </w:r>
            <w:proofErr w:type="spellEnd"/>
            <w:r w:rsidRPr="00A31C18">
              <w:t xml:space="preserve"> system, national disaster loss databases that have been developed do not necessarily include historical data on damage to railways, ports, airports and other infrastructures</w:t>
            </w:r>
            <w:r w:rsidR="006B1B53">
              <w:t>, such as health facilities</w:t>
            </w:r>
          </w:p>
          <w:p w:rsidR="008C5965" w:rsidRPr="008C5965" w:rsidRDefault="00CD582D" w:rsidP="007575E7">
            <w:pPr>
              <w:pStyle w:val="ListParagraph"/>
              <w:numPr>
                <w:ilvl w:val="0"/>
                <w:numId w:val="27"/>
              </w:numPr>
              <w:spacing w:after="200" w:line="276" w:lineRule="auto"/>
              <w:ind w:left="241" w:hanging="241"/>
              <w:cnfStyle w:val="000000000000" w:firstRow="0" w:lastRow="0" w:firstColumn="0" w:lastColumn="0" w:oddVBand="0" w:evenVBand="0" w:oddHBand="0" w:evenHBand="0" w:firstRowFirstColumn="0" w:firstRowLastColumn="0" w:lastRowFirstColumn="0" w:lastRowLastColumn="0"/>
              <w:rPr>
                <w:rFonts w:cs="Arial"/>
                <w:bCs/>
              </w:rPr>
            </w:pPr>
            <w:r w:rsidRPr="00A31C18">
              <w:t>Based on 2017 Data Readiness Review, data for ‘number of health facilities destroyed or damaged’ are currently available in 56 countries (representing 64% of reporting countries), and ‘number of disruptions to health services attributed to disasters’ are currently available in 39 countries (representing 45% of reporting countries)</w:t>
            </w:r>
            <w:r w:rsidR="007D6F03" w:rsidRPr="00A31C18">
              <w:rPr>
                <w:rStyle w:val="FootnoteReference"/>
              </w:rPr>
              <w:footnoteReference w:id="1"/>
            </w:r>
          </w:p>
          <w:p w:rsidR="00884A49" w:rsidRDefault="008350D6">
            <w:pPr>
              <w:pStyle w:val="ListParagraph"/>
              <w:numPr>
                <w:ilvl w:val="0"/>
                <w:numId w:val="27"/>
              </w:numPr>
              <w:ind w:left="241" w:hanging="241"/>
              <w:cnfStyle w:val="000000000000" w:firstRow="0" w:lastRow="0" w:firstColumn="0" w:lastColumn="0" w:oddVBand="0" w:evenVBand="0" w:oddHBand="0" w:evenHBand="0" w:firstRowFirstColumn="0" w:firstRowLastColumn="0" w:lastRowFirstColumn="0" w:lastRowLastColumn="0"/>
              <w:rPr>
                <w:rFonts w:cs="Arial"/>
                <w:bCs/>
              </w:rPr>
            </w:pPr>
            <w:r>
              <w:t xml:space="preserve">Problems with </w:t>
            </w:r>
            <w:r w:rsidR="00350901">
              <w:t>the registry of t</w:t>
            </w:r>
            <w:r>
              <w:t>he number</w:t>
            </w:r>
            <w:r w:rsidR="00350901">
              <w:t>s</w:t>
            </w:r>
            <w:r>
              <w:t>, name</w:t>
            </w:r>
            <w:r w:rsidR="00350901">
              <w:t xml:space="preserve">, </w:t>
            </w:r>
            <w:r>
              <w:t xml:space="preserve">location </w:t>
            </w:r>
            <w:r w:rsidR="00350901">
              <w:t xml:space="preserve">and level of </w:t>
            </w:r>
            <w:r>
              <w:t>health facilities before, during and after an event</w:t>
            </w:r>
          </w:p>
          <w:p w:rsidR="00884A49" w:rsidRDefault="008350D6">
            <w:pPr>
              <w:pStyle w:val="ListParagraph"/>
              <w:numPr>
                <w:ilvl w:val="0"/>
                <w:numId w:val="27"/>
              </w:numPr>
              <w:ind w:left="241" w:hanging="241"/>
              <w:cnfStyle w:val="000000000000" w:firstRow="0" w:lastRow="0" w:firstColumn="0" w:lastColumn="0" w:oddVBand="0" w:evenVBand="0" w:oddHBand="0" w:evenHBand="0" w:firstRowFirstColumn="0" w:firstRowLastColumn="0" w:lastRowFirstColumn="0" w:lastRowLastColumn="0"/>
              <w:rPr>
                <w:rFonts w:cs="Arial"/>
                <w:bCs/>
              </w:rPr>
            </w:pPr>
            <w:r>
              <w:t>Reference to the package of health services that each level of facility is expected to deliver; the status of those services pri</w:t>
            </w:r>
            <w:r w:rsidR="005D62AE">
              <w:t>or to the event, and level of services during and after the event</w:t>
            </w:r>
            <w:r w:rsidR="00350901">
              <w:t xml:space="preserve"> to determine if there has been a reduction in services</w:t>
            </w:r>
          </w:p>
        </w:tc>
      </w:tr>
      <w:tr w:rsidR="008B171B" w:rsidRPr="008670DF"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Pr="008670DF" w:rsidRDefault="008B171B" w:rsidP="00673E59">
            <w:pPr>
              <w:rPr>
                <w:sz w:val="20"/>
                <w:szCs w:val="20"/>
              </w:rPr>
            </w:pPr>
            <w:r w:rsidRPr="008670DF">
              <w:rPr>
                <w:sz w:val="20"/>
                <w:szCs w:val="20"/>
              </w:rPr>
              <w:t>Issues/ challenges</w:t>
            </w:r>
          </w:p>
          <w:p w:rsidR="008B171B" w:rsidRPr="0010702C" w:rsidRDefault="008B171B" w:rsidP="001335E7">
            <w:pPr>
              <w:pStyle w:val="ListParagraph"/>
              <w:numPr>
                <w:ilvl w:val="0"/>
                <w:numId w:val="15"/>
              </w:numPr>
              <w:ind w:left="426"/>
              <w:rPr>
                <w:sz w:val="20"/>
                <w:szCs w:val="20"/>
              </w:rPr>
            </w:pPr>
            <w:r w:rsidRPr="0010702C">
              <w:rPr>
                <w:sz w:val="20"/>
                <w:szCs w:val="20"/>
              </w:rPr>
              <w:t xml:space="preserve">Role of health </w:t>
            </w:r>
          </w:p>
          <w:p w:rsidR="008B171B" w:rsidRPr="00C9502E" w:rsidRDefault="008B171B" w:rsidP="001335E7">
            <w:pPr>
              <w:pStyle w:val="ListParagraph"/>
              <w:numPr>
                <w:ilvl w:val="0"/>
                <w:numId w:val="15"/>
              </w:numPr>
              <w:ind w:left="426"/>
              <w:rPr>
                <w:sz w:val="20"/>
                <w:szCs w:val="20"/>
              </w:rPr>
            </w:pPr>
            <w:r w:rsidRPr="00C9502E">
              <w:rPr>
                <w:sz w:val="20"/>
                <w:szCs w:val="20"/>
              </w:rPr>
              <w:t xml:space="preserve">Policy </w:t>
            </w:r>
          </w:p>
          <w:p w:rsidR="008B171B" w:rsidRPr="00A45DCA" w:rsidRDefault="008B171B" w:rsidP="001335E7">
            <w:pPr>
              <w:pStyle w:val="ListParagraph"/>
              <w:numPr>
                <w:ilvl w:val="0"/>
                <w:numId w:val="15"/>
              </w:numPr>
              <w:ind w:left="426"/>
              <w:rPr>
                <w:sz w:val="20"/>
                <w:szCs w:val="20"/>
              </w:rPr>
            </w:pPr>
            <w:r w:rsidRPr="00A45DCA">
              <w:rPr>
                <w:sz w:val="20"/>
                <w:szCs w:val="20"/>
              </w:rPr>
              <w:t>Governance</w:t>
            </w:r>
          </w:p>
          <w:p w:rsidR="008B171B" w:rsidRPr="00101C94" w:rsidRDefault="008B171B" w:rsidP="001335E7">
            <w:pPr>
              <w:pStyle w:val="ListParagraph"/>
              <w:numPr>
                <w:ilvl w:val="0"/>
                <w:numId w:val="15"/>
              </w:numPr>
              <w:ind w:left="426"/>
              <w:rPr>
                <w:sz w:val="20"/>
                <w:szCs w:val="20"/>
              </w:rPr>
            </w:pPr>
            <w:r w:rsidRPr="00015422">
              <w:rPr>
                <w:sz w:val="20"/>
                <w:szCs w:val="20"/>
              </w:rPr>
              <w:t xml:space="preserve">Adoption and implementation </w:t>
            </w:r>
          </w:p>
          <w:p w:rsidR="008B171B" w:rsidRPr="00CD582D" w:rsidRDefault="008B171B" w:rsidP="001335E7">
            <w:pPr>
              <w:pStyle w:val="ListParagraph"/>
              <w:numPr>
                <w:ilvl w:val="0"/>
                <w:numId w:val="15"/>
              </w:numPr>
              <w:ind w:left="426"/>
              <w:rPr>
                <w:sz w:val="20"/>
                <w:szCs w:val="20"/>
              </w:rPr>
            </w:pPr>
            <w:r w:rsidRPr="00CD582D">
              <w:rPr>
                <w:sz w:val="20"/>
                <w:szCs w:val="20"/>
              </w:rPr>
              <w:t>Temporal aspect – data collection</w:t>
            </w:r>
          </w:p>
          <w:p w:rsidR="001335E7" w:rsidRPr="00CD582D" w:rsidRDefault="001335E7" w:rsidP="001335E7">
            <w:pPr>
              <w:pStyle w:val="ListParagraph"/>
              <w:rPr>
                <w:sz w:val="20"/>
                <w:szCs w:val="20"/>
              </w:rPr>
            </w:pPr>
          </w:p>
        </w:tc>
        <w:tc>
          <w:tcPr>
            <w:tcW w:w="3675" w:type="pct"/>
            <w:vAlign w:val="center"/>
          </w:tcPr>
          <w:p w:rsidR="008350D6" w:rsidRDefault="008350D6" w:rsidP="001070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Definitions –</w:t>
            </w:r>
            <w:r w:rsidR="003C4FF3" w:rsidRPr="003C4FF3">
              <w:rPr>
                <w:rFonts w:cs="Arial"/>
              </w:rPr>
              <w:t xml:space="preserve"> defining the thresholds for levels of damage, and disruption</w:t>
            </w:r>
          </w:p>
          <w:p w:rsidR="008350D6" w:rsidRDefault="0010702C" w:rsidP="001070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A31C18">
              <w:rPr>
                <w:rFonts w:cs="Arial"/>
                <w:b/>
                <w:bCs/>
              </w:rPr>
              <w:t>Available data</w:t>
            </w:r>
            <w:r w:rsidRPr="00A31C18">
              <w:rPr>
                <w:rFonts w:cs="Arial"/>
                <w:bCs/>
              </w:rPr>
              <w:t xml:space="preserve">: </w:t>
            </w:r>
            <w:r w:rsidR="008670DF" w:rsidRPr="00A31C18">
              <w:rPr>
                <w:rFonts w:cs="Arial"/>
                <w:bCs/>
              </w:rPr>
              <w:t xml:space="preserve">The measurement of data for damage to critical infrastructure attributed to disasters would be extremely challenging, as </w:t>
            </w:r>
            <w:r w:rsidRPr="00A31C18">
              <w:rPr>
                <w:rFonts w:cs="Arial"/>
                <w:bCs/>
              </w:rPr>
              <w:t xml:space="preserve">some of the countries do not have readiness data. </w:t>
            </w:r>
          </w:p>
          <w:p w:rsidR="0010702C" w:rsidRPr="00A31C18" w:rsidRDefault="0010702C" w:rsidP="001070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A31C18">
              <w:rPr>
                <w:rFonts w:cs="Arial"/>
                <w:bCs/>
              </w:rPr>
              <w:t xml:space="preserve">As in 2017 Data Readiness Review, </w:t>
            </w:r>
            <w:r w:rsidR="008670DF" w:rsidRPr="00A31C18">
              <w:rPr>
                <w:rFonts w:cs="Arial"/>
                <w:bCs/>
              </w:rPr>
              <w:t>22% of reporting countries</w:t>
            </w:r>
            <w:r w:rsidRPr="00A31C18">
              <w:rPr>
                <w:rFonts w:cs="Arial"/>
                <w:bCs/>
              </w:rPr>
              <w:t xml:space="preserve"> </w:t>
            </w:r>
            <w:r w:rsidR="008670DF" w:rsidRPr="00A31C18">
              <w:rPr>
                <w:rFonts w:cs="Arial"/>
                <w:bCs/>
              </w:rPr>
              <w:t xml:space="preserve">indicated that they do not collect the number of health </w:t>
            </w:r>
            <w:r w:rsidRPr="00A31C18">
              <w:rPr>
                <w:rFonts w:cs="Arial"/>
                <w:bCs/>
              </w:rPr>
              <w:t xml:space="preserve">facilities destroyed or damaged </w:t>
            </w:r>
            <w:r w:rsidR="003C4FF3" w:rsidRPr="00A31C18">
              <w:rPr>
                <w:rFonts w:cs="Arial"/>
                <w:bCs/>
              </w:rPr>
              <w:fldChar w:fldCharType="begin"/>
            </w:r>
            <w:r w:rsidRPr="00A31C18">
              <w:rPr>
                <w:rFonts w:cs="Arial"/>
                <w:bCs/>
              </w:rPr>
              <w:instrText xml:space="preserve"> ADDIN ZOTERO_ITEM CSL_CITATION {"citationID":"Fe6GNNk0","properties":{"formattedCitation":"(UNISDR, 2017)","plainCitation":"(UNISDR, 2017)","noteIndex":0},"citationItems":[{"id":733,"uris":["http://zotero.org/users/local/uFUlpaxv/items/MJPHDS5F"],"uri":["http://zotero.org/users/local/uFUlpaxv/items/MJPHDS5F"],"itemData":{"id":733,"type":"report","title":"Sendai Framework data readiness review 2017 - Global summary report","publisher":"UNISDR","URL":"https://www.unisdr.org/we/inform/publications/53080","author":[{"family":"UNISDR","given":""}],"issued":{"date-parts":[["2017"]]},"accessed":{"date-parts":[["2018",11,9]]}}}],"schema":"https://github.com/citation-style-language/schema/raw/master/csl-citation.json"} </w:instrText>
            </w:r>
            <w:r w:rsidR="003C4FF3" w:rsidRPr="00A31C18">
              <w:rPr>
                <w:rFonts w:cs="Arial"/>
                <w:bCs/>
              </w:rPr>
              <w:fldChar w:fldCharType="separate"/>
            </w:r>
            <w:r w:rsidRPr="00A31C18">
              <w:rPr>
                <w:rFonts w:cs="Arial"/>
              </w:rPr>
              <w:t>(UNISDR, 2017a)</w:t>
            </w:r>
            <w:r w:rsidR="003C4FF3" w:rsidRPr="00A31C18">
              <w:rPr>
                <w:rFonts w:cs="Arial"/>
                <w:bCs/>
              </w:rPr>
              <w:fldChar w:fldCharType="end"/>
            </w:r>
            <w:r w:rsidRPr="00A31C18">
              <w:rPr>
                <w:rFonts w:cs="Arial"/>
                <w:bCs/>
              </w:rPr>
              <w:t>.</w:t>
            </w:r>
          </w:p>
          <w:p w:rsidR="0042551A" w:rsidRDefault="008350D6" w:rsidP="008350D6">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 xml:space="preserve">Health data may be available for specific events but may not be  compiled into a national figure </w:t>
            </w:r>
          </w:p>
          <w:p w:rsidR="0042551A" w:rsidRDefault="0042551A" w:rsidP="004255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For damage, countries are advised to focus on damage to health facilities</w:t>
            </w:r>
          </w:p>
          <w:p w:rsidR="008350D6" w:rsidRDefault="0042551A" w:rsidP="0042551A">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cs="Arial"/>
                <w:bCs/>
              </w:rPr>
              <w:t xml:space="preserve">For disruption, countries are advised to link to data on </w:t>
            </w:r>
            <w:proofErr w:type="spellStart"/>
            <w:r>
              <w:rPr>
                <w:rFonts w:cs="Arial"/>
                <w:bCs/>
              </w:rPr>
              <w:t>damagetto</w:t>
            </w:r>
            <w:proofErr w:type="spellEnd"/>
            <w:r>
              <w:rPr>
                <w:rFonts w:cs="Arial"/>
                <w:bCs/>
              </w:rPr>
              <w:t xml:space="preserve"> health facilities, and to the level of disruption noting that disruption may not be due to direct damage to the health facility, e.g. loss of  </w:t>
            </w:r>
            <w:r>
              <w:rPr>
                <w:rFonts w:cs="Arial"/>
                <w:bCs/>
              </w:rPr>
              <w:lastRenderedPageBreak/>
              <w:t>infrastructure, unavailability of staff</w:t>
            </w:r>
          </w:p>
          <w:p w:rsidR="0042551A" w:rsidRDefault="0042551A" w:rsidP="008350D6">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p w:rsidR="0010702C" w:rsidRPr="00A31C18" w:rsidRDefault="003C4FF3" w:rsidP="008350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A31C18">
              <w:fldChar w:fldCharType="begin"/>
            </w:r>
            <w:r w:rsidR="008350D6" w:rsidRPr="00A31C18">
              <w:instrText xml:space="preserve"> ADDIN ZOTERO_ITEM CSL_CITATION {"citationID":"vd286exw","properties":{"formattedCitation":"(UNISDR, 2017)","plainCitation":"(UNISDR, 2017)","noteIndex":0},"citationItems":[{"id":733,"uris":["http://zotero.org/users/local/uFUlpaxv/items/MJPHDS5F"],"uri":["http://zotero.org/users/local/uFUlpaxv/items/MJPHDS5F"],"itemData":{"id":733,"type":"report","title":"Sendai Framework data readiness review 2017 - Global summary report","publisher":"UNISDR","URL":"https://www.unisdr.org/we/inform/publications/53080","author":[{"family":"UNISDR","given":""}],"issued":{"date-parts":[["2017"]]},"accessed":{"date-parts":[["2018",11,9]]}}}],"schema":"https://github.com/citation-style-language/schema/raw/master/csl-citation.json"} </w:instrText>
            </w:r>
            <w:r w:rsidRPr="00A31C18">
              <w:fldChar w:fldCharType="end"/>
            </w:r>
            <w:r w:rsidR="0010702C" w:rsidRPr="00A31C18">
              <w:rPr>
                <w:rFonts w:cs="Arial"/>
                <w:b/>
                <w:bCs/>
              </w:rPr>
              <w:t>Statistical processing</w:t>
            </w:r>
            <w:r w:rsidR="0010702C" w:rsidRPr="00A31C18">
              <w:rPr>
                <w:rFonts w:cs="Arial"/>
                <w:bCs/>
              </w:rPr>
              <w:t>:  Disaster loss data is greatly influenced by large-scale catastrophic events, which represent important outliers in terms of damage to critical infrastructure</w:t>
            </w:r>
          </w:p>
          <w:p w:rsidR="0010702C" w:rsidRPr="00A31C18" w:rsidRDefault="0010702C" w:rsidP="00FD6E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A31C18">
              <w:rPr>
                <w:rFonts w:cs="Arial"/>
                <w:b/>
                <w:bCs/>
              </w:rPr>
              <w:t>Temporal aspects of data collection</w:t>
            </w:r>
            <w:r w:rsidRPr="00A31C18">
              <w:rPr>
                <w:rFonts w:cs="Arial"/>
                <w:bCs/>
              </w:rPr>
              <w:t>: temporal aspects for attribution and cut-off for data collection such as small-scale sudden-onset disasters versus large-scale, slow-onset and long duration disasters, and rapid assessment versus detailed assessment</w:t>
            </w:r>
            <w:r w:rsidR="00FD6E4C">
              <w:rPr>
                <w:rFonts w:cs="Arial"/>
                <w:bCs/>
              </w:rPr>
              <w:t>. There is merit in collecting data both during the event (where there is an operational imperative) and after the event (where data is likely to be more complete).</w:t>
            </w:r>
          </w:p>
          <w:p w:rsidR="0010702C" w:rsidRDefault="0010702C" w:rsidP="001070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A31C18">
              <w:rPr>
                <w:rFonts w:cs="Arial"/>
                <w:b/>
                <w:bCs/>
              </w:rPr>
              <w:t>Metadata</w:t>
            </w:r>
            <w:r w:rsidRPr="00A31C18">
              <w:rPr>
                <w:rFonts w:cs="Arial"/>
                <w:bCs/>
              </w:rPr>
              <w:t>: the consistency between countr</w:t>
            </w:r>
            <w:r w:rsidR="00DE7F6E" w:rsidRPr="00A31C18">
              <w:rPr>
                <w:rFonts w:cs="Arial"/>
                <w:bCs/>
              </w:rPr>
              <w:t>y in major categories and the elements in each category</w:t>
            </w:r>
          </w:p>
          <w:p w:rsidR="003917BA" w:rsidRDefault="003917BA" w:rsidP="003917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 xml:space="preserve">Retrospective versus contemporaneous </w:t>
            </w:r>
            <w:r w:rsidR="00350901">
              <w:rPr>
                <w:rFonts w:cs="Arial"/>
                <w:bCs/>
              </w:rPr>
              <w:t>assessments of disruption of services, both have merit</w:t>
            </w:r>
            <w:r>
              <w:rPr>
                <w:rFonts w:cs="Arial"/>
                <w:bCs/>
              </w:rPr>
              <w:t xml:space="preserve"> – do both</w:t>
            </w:r>
          </w:p>
          <w:p w:rsidR="003917BA" w:rsidRDefault="003917BA" w:rsidP="003917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 xml:space="preserve">Retrospective – more rigorous, benefit of hindsight on level of disruption. May be more complete. Collected for restoration and rebuilding purposes. </w:t>
            </w:r>
          </w:p>
          <w:p w:rsidR="0042551A" w:rsidRDefault="003917BA" w:rsidP="003917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Contemporaneous reporting – there is a key imperative to assess damage and disruption for health respo</w:t>
            </w:r>
            <w:r w:rsidR="00C54C13">
              <w:rPr>
                <w:rFonts w:cs="Arial"/>
                <w:bCs/>
              </w:rPr>
              <w:t xml:space="preserve">nse. </w:t>
            </w:r>
          </w:p>
          <w:p w:rsidR="003917BA" w:rsidRPr="00A31C18" w:rsidRDefault="0042551A" w:rsidP="003917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FD6E4C">
              <w:rPr>
                <w:rFonts w:cs="Arial"/>
                <w:bCs/>
              </w:rPr>
              <w:t xml:space="preserve">Tools </w:t>
            </w:r>
            <w:r>
              <w:rPr>
                <w:rFonts w:cs="Arial"/>
                <w:bCs/>
              </w:rPr>
              <w:t xml:space="preserve">–WHO Health </w:t>
            </w:r>
            <w:r w:rsidR="00FD6E4C">
              <w:rPr>
                <w:rFonts w:cs="Arial"/>
                <w:bCs/>
              </w:rPr>
              <w:t xml:space="preserve">Resources and Services </w:t>
            </w:r>
            <w:r w:rsidRPr="00FD6E4C">
              <w:rPr>
                <w:rFonts w:cs="Arial"/>
                <w:bCs/>
              </w:rPr>
              <w:t>Availability Monitoring System (</w:t>
            </w:r>
            <w:proofErr w:type="spellStart"/>
            <w:r w:rsidRPr="00FD6E4C">
              <w:rPr>
                <w:rFonts w:cs="Arial"/>
                <w:bCs/>
              </w:rPr>
              <w:t>HeRAMS</w:t>
            </w:r>
            <w:proofErr w:type="spellEnd"/>
            <w:r w:rsidRPr="00FD6E4C">
              <w:rPr>
                <w:rFonts w:cs="Arial"/>
                <w:bCs/>
              </w:rPr>
              <w:t>)</w:t>
            </w:r>
            <w:r w:rsidR="00FD6E4C">
              <w:rPr>
                <w:rFonts w:cs="Arial"/>
                <w:bCs/>
              </w:rPr>
              <w:t xml:space="preserve"> tool enables monitoring of </w:t>
            </w:r>
            <w:r w:rsidRPr="00FD6E4C">
              <w:rPr>
                <w:rFonts w:cs="Arial"/>
                <w:bCs/>
              </w:rPr>
              <w:t>health facilities, services and resources availability in emergencies</w:t>
            </w:r>
            <w:r w:rsidR="00FD6E4C">
              <w:rPr>
                <w:rFonts w:cs="Arial"/>
                <w:bCs/>
              </w:rPr>
              <w:t xml:space="preserve"> and the reason for gaps in service availability</w:t>
            </w:r>
            <w:r w:rsidRPr="00FD6E4C">
              <w:rPr>
                <w:rFonts w:cs="Arial"/>
                <w:bCs/>
              </w:rPr>
              <w:t>.</w:t>
            </w:r>
            <w:r w:rsidR="00FD6E4C">
              <w:rPr>
                <w:rFonts w:cs="Arial"/>
                <w:bCs/>
              </w:rPr>
              <w:t xml:space="preserve"> </w:t>
            </w:r>
            <w:proofErr w:type="spellStart"/>
            <w:r w:rsidR="00FD6E4C">
              <w:rPr>
                <w:rFonts w:cs="Arial"/>
                <w:bCs/>
              </w:rPr>
              <w:t>HeRAMS</w:t>
            </w:r>
            <w:proofErr w:type="spellEnd"/>
            <w:r w:rsidR="00FD6E4C">
              <w:rPr>
                <w:rFonts w:cs="Arial"/>
                <w:bCs/>
              </w:rPr>
              <w:t>, in full or modified form,  could assist countries in reporting against this indicator (</w:t>
            </w:r>
            <w:hyperlink r:id="rId9" w:history="1">
              <w:r w:rsidR="00FD6E4C" w:rsidRPr="00142AA1">
                <w:rPr>
                  <w:rStyle w:val="Hyperlink"/>
                  <w:rFonts w:cs="Arial"/>
                  <w:bCs/>
                </w:rPr>
                <w:t>http://www.who.int/hac/herams/en/</w:t>
              </w:r>
            </w:hyperlink>
            <w:r w:rsidR="00FD6E4C">
              <w:rPr>
                <w:rFonts w:cs="Arial"/>
                <w:bCs/>
              </w:rPr>
              <w:t xml:space="preserve"> )</w:t>
            </w:r>
          </w:p>
        </w:tc>
      </w:tr>
    </w:tbl>
    <w:p w:rsidR="001335E7" w:rsidRDefault="001335E7" w:rsidP="001335E7">
      <w:pPr>
        <w:pStyle w:val="ListParagraph"/>
        <w:spacing w:after="0" w:line="360" w:lineRule="auto"/>
        <w:ind w:left="426"/>
        <w:rPr>
          <w:b/>
        </w:rPr>
      </w:pPr>
    </w:p>
    <w:p w:rsidR="001335E7" w:rsidRDefault="001335E7" w:rsidP="00E70D5D">
      <w:pPr>
        <w:pStyle w:val="ListParagraph"/>
        <w:numPr>
          <w:ilvl w:val="0"/>
          <w:numId w:val="1"/>
        </w:numPr>
        <w:spacing w:after="0" w:line="360" w:lineRule="auto"/>
        <w:ind w:left="426"/>
        <w:rPr>
          <w:b/>
        </w:rPr>
      </w:pPr>
      <w:r>
        <w:rPr>
          <w:b/>
        </w:rPr>
        <w:t>Methodology</w:t>
      </w:r>
    </w:p>
    <w:tbl>
      <w:tblPr>
        <w:tblStyle w:val="MediumGrid3-Accent1"/>
        <w:tblW w:w="5083" w:type="pct"/>
        <w:tblLook w:val="0680" w:firstRow="0" w:lastRow="0" w:firstColumn="1" w:lastColumn="0" w:noHBand="1" w:noVBand="1"/>
      </w:tblPr>
      <w:tblGrid>
        <w:gridCol w:w="2518"/>
        <w:gridCol w:w="6877"/>
      </w:tblGrid>
      <w:tr w:rsidR="001335E7" w:rsidRPr="00CD4D2A" w:rsidTr="002310FC">
        <w:trPr>
          <w:trHeight w:val="393"/>
        </w:trPr>
        <w:tc>
          <w:tcPr>
            <w:cnfStyle w:val="001000000000" w:firstRow="0" w:lastRow="0" w:firstColumn="1" w:lastColumn="0" w:oddVBand="0" w:evenVBand="0" w:oddHBand="0" w:evenHBand="0" w:firstRowFirstColumn="0" w:firstRowLastColumn="0" w:lastRowFirstColumn="0" w:lastRowLastColumn="0"/>
            <w:tcW w:w="1340" w:type="pct"/>
            <w:vAlign w:val="center"/>
          </w:tcPr>
          <w:p w:rsidR="001335E7" w:rsidRPr="00CD4D2A" w:rsidRDefault="001335E7" w:rsidP="00673E59">
            <w:pPr>
              <w:autoSpaceDE w:val="0"/>
              <w:autoSpaceDN w:val="0"/>
              <w:adjustRightInd w:val="0"/>
              <w:rPr>
                <w:rFonts w:cs="Arial"/>
                <w:bCs w:val="0"/>
                <w:sz w:val="20"/>
                <w:szCs w:val="20"/>
              </w:rPr>
            </w:pPr>
            <w:r w:rsidRPr="00CD4D2A">
              <w:rPr>
                <w:rFonts w:cs="Arial"/>
                <w:bCs w:val="0"/>
                <w:sz w:val="20"/>
                <w:szCs w:val="20"/>
              </w:rPr>
              <w:t>What is measure</w:t>
            </w:r>
            <w:r w:rsidR="00A45DCA">
              <w:rPr>
                <w:rFonts w:cs="Arial"/>
                <w:bCs w:val="0"/>
                <w:sz w:val="20"/>
                <w:szCs w:val="20"/>
              </w:rPr>
              <w:t>d</w:t>
            </w:r>
          </w:p>
        </w:tc>
        <w:tc>
          <w:tcPr>
            <w:tcW w:w="3660" w:type="pct"/>
            <w:vAlign w:val="center"/>
          </w:tcPr>
          <w:p w:rsidR="00E6618A" w:rsidRPr="004925D7" w:rsidRDefault="00FD6E4C" w:rsidP="00E661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925D7">
              <w:rPr>
                <w:rFonts w:cs="Arial"/>
                <w:bCs/>
                <w:sz w:val="20"/>
                <w:szCs w:val="20"/>
              </w:rPr>
              <w:t xml:space="preserve">Sendai Framework: </w:t>
            </w:r>
            <w:r w:rsidR="00C62A28" w:rsidRPr="004925D7">
              <w:rPr>
                <w:rFonts w:cs="Arial"/>
                <w:bCs/>
                <w:sz w:val="20"/>
                <w:szCs w:val="20"/>
              </w:rPr>
              <w:t>What is the</w:t>
            </w:r>
            <w:r w:rsidRPr="004925D7">
              <w:rPr>
                <w:rFonts w:cs="Arial"/>
                <w:bCs/>
                <w:sz w:val="20"/>
                <w:szCs w:val="20"/>
              </w:rPr>
              <w:t xml:space="preserve"> national</w:t>
            </w:r>
            <w:r w:rsidR="00C62A28" w:rsidRPr="004925D7">
              <w:rPr>
                <w:rFonts w:cs="Arial"/>
                <w:bCs/>
                <w:sz w:val="20"/>
                <w:szCs w:val="20"/>
              </w:rPr>
              <w:t xml:space="preserve"> impact of disasters on critical infrastructure and basic services in terms of damage and </w:t>
            </w:r>
            <w:r w:rsidR="008670DF" w:rsidRPr="004925D7">
              <w:rPr>
                <w:rFonts w:cs="Arial"/>
                <w:bCs/>
                <w:sz w:val="20"/>
                <w:szCs w:val="20"/>
              </w:rPr>
              <w:t>disruption</w:t>
            </w:r>
            <w:r w:rsidR="00530008" w:rsidRPr="004925D7">
              <w:rPr>
                <w:rFonts w:cs="Arial"/>
                <w:bCs/>
                <w:sz w:val="20"/>
                <w:szCs w:val="20"/>
              </w:rPr>
              <w:t xml:space="preserve"> due to hazards within the scope of the Sendai Framework.</w:t>
            </w:r>
          </w:p>
          <w:p w:rsidR="00530008" w:rsidRPr="004925D7" w:rsidRDefault="00530008" w:rsidP="005300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925D7">
              <w:rPr>
                <w:rFonts w:cs="Arial"/>
                <w:bCs/>
                <w:sz w:val="20"/>
                <w:szCs w:val="20"/>
              </w:rPr>
              <w:t xml:space="preserve">Customisable: What is the national impact of disasters on critical infrastructure and basic services in terms of damage and disruption due to all types of hazards </w:t>
            </w:r>
          </w:p>
          <w:p w:rsidR="003917BA" w:rsidRPr="004925D7" w:rsidRDefault="003917BA" w:rsidP="00E661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p>
        </w:tc>
      </w:tr>
      <w:tr w:rsidR="001335E7" w:rsidRPr="00CD4D2A" w:rsidTr="002310FC">
        <w:trPr>
          <w:trHeight w:val="886"/>
        </w:trPr>
        <w:tc>
          <w:tcPr>
            <w:cnfStyle w:val="001000000000" w:firstRow="0" w:lastRow="0" w:firstColumn="1" w:lastColumn="0" w:oddVBand="0" w:evenVBand="0" w:oddHBand="0" w:evenHBand="0" w:firstRowFirstColumn="0" w:firstRowLastColumn="0" w:lastRowFirstColumn="0" w:lastRowLastColumn="0"/>
            <w:tcW w:w="1340" w:type="pct"/>
            <w:vAlign w:val="center"/>
          </w:tcPr>
          <w:p w:rsidR="001335E7" w:rsidRPr="00CD4D2A" w:rsidRDefault="001335E7" w:rsidP="00673E59">
            <w:pPr>
              <w:autoSpaceDE w:val="0"/>
              <w:autoSpaceDN w:val="0"/>
              <w:adjustRightInd w:val="0"/>
              <w:rPr>
                <w:rFonts w:cs="Arial"/>
                <w:sz w:val="20"/>
                <w:szCs w:val="20"/>
              </w:rPr>
            </w:pPr>
            <w:r w:rsidRPr="00CD4D2A">
              <w:rPr>
                <w:rFonts w:cs="Arial"/>
                <w:sz w:val="20"/>
                <w:szCs w:val="20"/>
              </w:rPr>
              <w:t>Key terms</w:t>
            </w:r>
          </w:p>
        </w:tc>
        <w:tc>
          <w:tcPr>
            <w:tcW w:w="3660" w:type="pct"/>
            <w:vAlign w:val="center"/>
          </w:tcPr>
          <w:p w:rsidR="00884A49" w:rsidRPr="004925D7" w:rsidRDefault="00884A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p>
          <w:p w:rsidR="00E6618A" w:rsidRPr="004925D7" w:rsidRDefault="00E6618A" w:rsidP="00B70DE4">
            <w:pPr>
              <w:pStyle w:val="ListParagraph"/>
              <w:numPr>
                <w:ilvl w:val="0"/>
                <w:numId w:val="17"/>
              </w:numPr>
              <w:autoSpaceDE w:val="0"/>
              <w:autoSpaceDN w:val="0"/>
              <w:adjustRightInd w:val="0"/>
              <w:ind w:left="315" w:hanging="284"/>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925D7">
              <w:rPr>
                <w:rFonts w:cs="Arial"/>
                <w:b/>
                <w:bCs/>
                <w:sz w:val="20"/>
                <w:szCs w:val="20"/>
              </w:rPr>
              <w:t>Disruption</w:t>
            </w:r>
            <w:r w:rsidRPr="004925D7">
              <w:rPr>
                <w:rFonts w:cs="Arial"/>
                <w:bCs/>
                <w:sz w:val="20"/>
                <w:szCs w:val="20"/>
              </w:rPr>
              <w:t xml:space="preserve"> – one or a combination of the below:</w:t>
            </w:r>
          </w:p>
          <w:p w:rsidR="00E6618A" w:rsidRPr="004925D7" w:rsidRDefault="00E6618A" w:rsidP="00B70DE4">
            <w:pPr>
              <w:pStyle w:val="ListParagraph"/>
              <w:numPr>
                <w:ilvl w:val="1"/>
                <w:numId w:val="17"/>
              </w:numPr>
              <w:autoSpaceDE w:val="0"/>
              <w:autoSpaceDN w:val="0"/>
              <w:adjustRightInd w:val="0"/>
              <w:ind w:left="1023" w:hanging="283"/>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925D7">
              <w:rPr>
                <w:rFonts w:cs="Arial"/>
                <w:bCs/>
                <w:sz w:val="20"/>
                <w:szCs w:val="20"/>
              </w:rPr>
              <w:t>Interruptions, either single or multiple, short or long term, of the services</w:t>
            </w:r>
          </w:p>
          <w:p w:rsidR="00E6618A" w:rsidRPr="004925D7" w:rsidRDefault="00E6618A" w:rsidP="00E6618A">
            <w:pPr>
              <w:pStyle w:val="ListParagraph"/>
              <w:numPr>
                <w:ilvl w:val="1"/>
                <w:numId w:val="17"/>
              </w:numPr>
              <w:autoSpaceDE w:val="0"/>
              <w:autoSpaceDN w:val="0"/>
              <w:adjustRightInd w:val="0"/>
              <w:ind w:left="1023" w:hanging="283"/>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925D7">
              <w:rPr>
                <w:rFonts w:cs="Arial"/>
                <w:bCs/>
                <w:sz w:val="20"/>
                <w:szCs w:val="20"/>
              </w:rPr>
              <w:t>Damage to the facilities or networks that provide the service</w:t>
            </w:r>
          </w:p>
          <w:p w:rsidR="00E6618A" w:rsidRPr="004925D7" w:rsidRDefault="00E6618A" w:rsidP="00E6618A">
            <w:pPr>
              <w:pStyle w:val="ListParagraph"/>
              <w:numPr>
                <w:ilvl w:val="1"/>
                <w:numId w:val="17"/>
              </w:numPr>
              <w:autoSpaceDE w:val="0"/>
              <w:autoSpaceDN w:val="0"/>
              <w:adjustRightInd w:val="0"/>
              <w:ind w:left="1023" w:hanging="283"/>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925D7">
              <w:rPr>
                <w:rFonts w:cs="Arial"/>
                <w:bCs/>
                <w:sz w:val="20"/>
                <w:szCs w:val="20"/>
              </w:rPr>
              <w:t>A measureable/noticeable reduction in the quality of the service</w:t>
            </w:r>
          </w:p>
          <w:p w:rsidR="00E6618A" w:rsidRPr="004925D7" w:rsidRDefault="00E6618A" w:rsidP="00E6618A">
            <w:pPr>
              <w:pStyle w:val="ListParagraph"/>
              <w:numPr>
                <w:ilvl w:val="1"/>
                <w:numId w:val="17"/>
              </w:numPr>
              <w:autoSpaceDE w:val="0"/>
              <w:autoSpaceDN w:val="0"/>
              <w:adjustRightInd w:val="0"/>
              <w:ind w:left="1023" w:hanging="283"/>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925D7">
              <w:rPr>
                <w:rFonts w:cs="Arial"/>
                <w:bCs/>
                <w:sz w:val="20"/>
                <w:szCs w:val="20"/>
              </w:rPr>
              <w:t>Reduction in the population covered by the service</w:t>
            </w:r>
          </w:p>
          <w:p w:rsidR="00E6618A" w:rsidRPr="004925D7" w:rsidRDefault="00E6618A" w:rsidP="00B70DE4">
            <w:pPr>
              <w:pStyle w:val="ListParagraph"/>
              <w:numPr>
                <w:ilvl w:val="0"/>
                <w:numId w:val="17"/>
              </w:numPr>
              <w:autoSpaceDE w:val="0"/>
              <w:autoSpaceDN w:val="0"/>
              <w:adjustRightInd w:val="0"/>
              <w:ind w:left="315" w:hanging="284"/>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925D7">
              <w:rPr>
                <w:rFonts w:cs="Arial"/>
                <w:b/>
                <w:bCs/>
                <w:sz w:val="20"/>
                <w:szCs w:val="20"/>
              </w:rPr>
              <w:t>Critical infrastructure</w:t>
            </w:r>
            <w:r w:rsidRPr="004925D7">
              <w:rPr>
                <w:rFonts w:cs="Arial"/>
                <w:bCs/>
                <w:sz w:val="20"/>
                <w:szCs w:val="20"/>
              </w:rPr>
              <w:t xml:space="preserve"> – the physical structures, facilities, networks and other assets which provide services that are essential to the social and economic functioning of a community or society</w:t>
            </w:r>
          </w:p>
          <w:p w:rsidR="00C14263" w:rsidRPr="004925D7" w:rsidRDefault="00E6618A" w:rsidP="00101C94">
            <w:pPr>
              <w:pStyle w:val="ListParagraph"/>
              <w:numPr>
                <w:ilvl w:val="0"/>
                <w:numId w:val="17"/>
              </w:numPr>
              <w:autoSpaceDE w:val="0"/>
              <w:autoSpaceDN w:val="0"/>
              <w:adjustRightInd w:val="0"/>
              <w:ind w:left="315" w:hanging="284"/>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b/>
                <w:bCs/>
                <w:sz w:val="20"/>
                <w:szCs w:val="20"/>
              </w:rPr>
              <w:t>Basic services</w:t>
            </w:r>
            <w:r w:rsidRPr="004925D7">
              <w:rPr>
                <w:rFonts w:cs="Arial"/>
                <w:bCs/>
                <w:sz w:val="20"/>
                <w:szCs w:val="20"/>
              </w:rPr>
              <w:t xml:space="preserve"> – services which are needed for all of society to function effectively or appropriately</w:t>
            </w:r>
          </w:p>
          <w:p w:rsidR="00C14263" w:rsidRPr="004925D7" w:rsidRDefault="00C14263" w:rsidP="00101C94">
            <w:pPr>
              <w:pStyle w:val="ListParagraph"/>
              <w:numPr>
                <w:ilvl w:val="0"/>
                <w:numId w:val="17"/>
              </w:numPr>
              <w:autoSpaceDE w:val="0"/>
              <w:autoSpaceDN w:val="0"/>
              <w:adjustRightInd w:val="0"/>
              <w:ind w:left="317" w:hanging="283"/>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b/>
                <w:sz w:val="20"/>
                <w:szCs w:val="20"/>
              </w:rPr>
              <w:t>Health-care facilities</w:t>
            </w:r>
            <w:r w:rsidRPr="004925D7">
              <w:rPr>
                <w:rFonts w:cs="Arial"/>
                <w:sz w:val="20"/>
                <w:szCs w:val="20"/>
              </w:rPr>
              <w:t xml:space="preserve"> –</w:t>
            </w:r>
            <w:r w:rsidR="009E5C19" w:rsidRPr="004925D7">
              <w:rPr>
                <w:rFonts w:cs="Arial"/>
                <w:sz w:val="20"/>
                <w:szCs w:val="20"/>
              </w:rPr>
              <w:t xml:space="preserve"> health centres, clinics, local, regional and tertiary hospitals, outpatients centres, health laboratories and in general facilities used by primary health providers</w:t>
            </w:r>
            <w:r w:rsidRPr="004925D7">
              <w:rPr>
                <w:rFonts w:cs="Arial"/>
                <w:sz w:val="20"/>
                <w:szCs w:val="20"/>
              </w:rPr>
              <w:t xml:space="preserve"> </w:t>
            </w:r>
          </w:p>
        </w:tc>
      </w:tr>
      <w:tr w:rsidR="001335E7" w:rsidRPr="00CD4D2A" w:rsidTr="002310FC">
        <w:trPr>
          <w:trHeight w:val="886"/>
        </w:trPr>
        <w:tc>
          <w:tcPr>
            <w:cnfStyle w:val="001000000000" w:firstRow="0" w:lastRow="0" w:firstColumn="1" w:lastColumn="0" w:oddVBand="0" w:evenVBand="0" w:oddHBand="0" w:evenHBand="0" w:firstRowFirstColumn="0" w:firstRowLastColumn="0" w:lastRowFirstColumn="0" w:lastRowLastColumn="0"/>
            <w:tcW w:w="1340" w:type="pct"/>
            <w:vAlign w:val="center"/>
          </w:tcPr>
          <w:p w:rsidR="001335E7" w:rsidRPr="00CD4D2A" w:rsidRDefault="001335E7" w:rsidP="00673E59">
            <w:pPr>
              <w:autoSpaceDE w:val="0"/>
              <w:autoSpaceDN w:val="0"/>
              <w:adjustRightInd w:val="0"/>
              <w:rPr>
                <w:rFonts w:cs="Arial"/>
                <w:bCs w:val="0"/>
                <w:sz w:val="20"/>
                <w:szCs w:val="20"/>
              </w:rPr>
            </w:pPr>
            <w:r w:rsidRPr="00CD4D2A">
              <w:rPr>
                <w:rFonts w:cs="Arial"/>
                <w:bCs w:val="0"/>
                <w:sz w:val="20"/>
                <w:szCs w:val="20"/>
              </w:rPr>
              <w:t xml:space="preserve">Health input </w:t>
            </w:r>
          </w:p>
        </w:tc>
        <w:tc>
          <w:tcPr>
            <w:tcW w:w="3660" w:type="pct"/>
            <w:vAlign w:val="center"/>
          </w:tcPr>
          <w:p w:rsidR="001335E7" w:rsidRPr="004925D7" w:rsidRDefault="00DE7F6E" w:rsidP="007575E7">
            <w:pPr>
              <w:pStyle w:val="ListParagraph"/>
              <w:numPr>
                <w:ilvl w:val="0"/>
                <w:numId w:val="28"/>
              </w:numPr>
              <w:ind w:left="317" w:hanging="283"/>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Healthcare and public health sector: hospitals, clinics, health centres</w:t>
            </w:r>
          </w:p>
          <w:p w:rsidR="00DE7F6E" w:rsidRPr="004925D7" w:rsidRDefault="00DE7F6E" w:rsidP="007575E7">
            <w:pPr>
              <w:pStyle w:val="ListParagraph"/>
              <w:numPr>
                <w:ilvl w:val="0"/>
                <w:numId w:val="28"/>
              </w:numPr>
              <w:ind w:left="317" w:hanging="283"/>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Education sector: training centres for health</w:t>
            </w:r>
          </w:p>
          <w:p w:rsidR="00DE7F6E" w:rsidRPr="004925D7" w:rsidRDefault="00DE7F6E" w:rsidP="007575E7">
            <w:pPr>
              <w:pStyle w:val="ListParagraph"/>
              <w:numPr>
                <w:ilvl w:val="0"/>
                <w:numId w:val="28"/>
              </w:numPr>
              <w:ind w:left="317" w:hanging="283"/>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 xml:space="preserve">Government facilities sector: government buildings  </w:t>
            </w:r>
          </w:p>
        </w:tc>
      </w:tr>
      <w:tr w:rsidR="001335E7" w:rsidRPr="00CD4D2A" w:rsidTr="002310FC">
        <w:trPr>
          <w:trHeight w:val="886"/>
        </w:trPr>
        <w:tc>
          <w:tcPr>
            <w:cnfStyle w:val="001000000000" w:firstRow="0" w:lastRow="0" w:firstColumn="1" w:lastColumn="0" w:oddVBand="0" w:evenVBand="0" w:oddHBand="0" w:evenHBand="0" w:firstRowFirstColumn="0" w:firstRowLastColumn="0" w:lastRowFirstColumn="0" w:lastRowLastColumn="0"/>
            <w:tcW w:w="1340" w:type="pct"/>
            <w:vAlign w:val="center"/>
          </w:tcPr>
          <w:p w:rsidR="001335E7" w:rsidRPr="00CD4D2A" w:rsidRDefault="001335E7" w:rsidP="00673E59">
            <w:pPr>
              <w:autoSpaceDE w:val="0"/>
              <w:autoSpaceDN w:val="0"/>
              <w:adjustRightInd w:val="0"/>
              <w:rPr>
                <w:rFonts w:cs="Arial"/>
                <w:bCs w:val="0"/>
                <w:sz w:val="20"/>
                <w:szCs w:val="20"/>
              </w:rPr>
            </w:pPr>
            <w:r w:rsidRPr="00CD4D2A">
              <w:rPr>
                <w:rFonts w:cs="Arial"/>
                <w:bCs w:val="0"/>
                <w:sz w:val="20"/>
                <w:szCs w:val="20"/>
              </w:rPr>
              <w:lastRenderedPageBreak/>
              <w:t xml:space="preserve">Who to engage with </w:t>
            </w:r>
          </w:p>
        </w:tc>
        <w:tc>
          <w:tcPr>
            <w:tcW w:w="3660" w:type="pct"/>
            <w:vAlign w:val="center"/>
          </w:tcPr>
          <w:p w:rsidR="00B3174D" w:rsidRPr="004925D7" w:rsidRDefault="00B3174D" w:rsidP="00B3174D">
            <w:pPr>
              <w:numPr>
                <w:ilvl w:val="0"/>
                <w:numId w:val="18"/>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Ministry of health</w:t>
            </w:r>
          </w:p>
          <w:p w:rsidR="00B3174D" w:rsidRPr="004925D7" w:rsidRDefault="00B3174D" w:rsidP="00B3174D">
            <w:pPr>
              <w:numPr>
                <w:ilvl w:val="1"/>
                <w:numId w:val="18"/>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Health statistics office/Health information management systems</w:t>
            </w:r>
          </w:p>
          <w:p w:rsidR="00B3174D" w:rsidRPr="004925D7" w:rsidRDefault="00B3174D" w:rsidP="00B3174D">
            <w:pPr>
              <w:numPr>
                <w:ilvl w:val="1"/>
                <w:numId w:val="18"/>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National disease surveillance system</w:t>
            </w:r>
          </w:p>
          <w:p w:rsidR="00B3174D" w:rsidRPr="004925D7" w:rsidRDefault="00B3174D" w:rsidP="00B3174D">
            <w:pPr>
              <w:numPr>
                <w:ilvl w:val="0"/>
                <w:numId w:val="18"/>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National disaster management offices</w:t>
            </w:r>
          </w:p>
          <w:p w:rsidR="00B3174D" w:rsidRPr="004925D7" w:rsidRDefault="00B3174D" w:rsidP="00B3174D">
            <w:pPr>
              <w:numPr>
                <w:ilvl w:val="0"/>
                <w:numId w:val="18"/>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National focal point for Sendai Framework reporting</w:t>
            </w:r>
          </w:p>
          <w:p w:rsidR="00B3174D" w:rsidRPr="004925D7" w:rsidRDefault="00B3174D" w:rsidP="00B3174D">
            <w:pPr>
              <w:numPr>
                <w:ilvl w:val="0"/>
                <w:numId w:val="18"/>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 xml:space="preserve">National Statistics Offices </w:t>
            </w:r>
          </w:p>
          <w:p w:rsidR="00B3174D" w:rsidRPr="004925D7" w:rsidRDefault="00B3174D" w:rsidP="00B3174D">
            <w:pPr>
              <w:numPr>
                <w:ilvl w:val="0"/>
                <w:numId w:val="18"/>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National focal point (?) for SDG reporting</w:t>
            </w:r>
          </w:p>
          <w:p w:rsidR="00B3174D" w:rsidRPr="004925D7" w:rsidRDefault="00B3174D" w:rsidP="00B3174D">
            <w:pPr>
              <w:numPr>
                <w:ilvl w:val="0"/>
                <w:numId w:val="18"/>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 xml:space="preserve">WHO Country Offices/Regional Offices – WHO Health Emergencies Programme/Global Health Observatory </w:t>
            </w:r>
          </w:p>
          <w:p w:rsidR="001335E7" w:rsidRPr="004925D7" w:rsidRDefault="00B3174D" w:rsidP="00B3174D">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Other sectors contributing</w:t>
            </w:r>
          </w:p>
        </w:tc>
      </w:tr>
      <w:tr w:rsidR="001335E7" w:rsidRPr="00CD4D2A" w:rsidTr="002310FC">
        <w:trPr>
          <w:trHeight w:val="886"/>
        </w:trPr>
        <w:tc>
          <w:tcPr>
            <w:cnfStyle w:val="001000000000" w:firstRow="0" w:lastRow="0" w:firstColumn="1" w:lastColumn="0" w:oddVBand="0" w:evenVBand="0" w:oddHBand="0" w:evenHBand="0" w:firstRowFirstColumn="0" w:firstRowLastColumn="0" w:lastRowFirstColumn="0" w:lastRowLastColumn="0"/>
            <w:tcW w:w="1340" w:type="pct"/>
            <w:vAlign w:val="center"/>
          </w:tcPr>
          <w:p w:rsidR="001335E7" w:rsidRPr="00CD4D2A" w:rsidRDefault="001335E7" w:rsidP="00673E59">
            <w:pPr>
              <w:autoSpaceDE w:val="0"/>
              <w:autoSpaceDN w:val="0"/>
              <w:adjustRightInd w:val="0"/>
              <w:rPr>
                <w:rFonts w:cs="Arial"/>
                <w:bCs w:val="0"/>
                <w:sz w:val="20"/>
                <w:szCs w:val="20"/>
              </w:rPr>
            </w:pPr>
            <w:r w:rsidRPr="00CD4D2A">
              <w:rPr>
                <w:rFonts w:cs="Arial"/>
                <w:bCs w:val="0"/>
                <w:sz w:val="20"/>
                <w:szCs w:val="20"/>
              </w:rPr>
              <w:t xml:space="preserve">Indicator formula </w:t>
            </w:r>
          </w:p>
        </w:tc>
        <w:tc>
          <w:tcPr>
            <w:tcW w:w="3660" w:type="pct"/>
            <w:vAlign w:val="center"/>
          </w:tcPr>
          <w:p w:rsidR="00B3174D" w:rsidRPr="004925D7" w:rsidRDefault="00B3174D" w:rsidP="00B3174D">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4925D7">
              <w:rPr>
                <w:rFonts w:cs="Arial"/>
                <w:b/>
                <w:sz w:val="20"/>
                <w:szCs w:val="20"/>
              </w:rPr>
              <w:t>D-1. Damage to infrastructure</w:t>
            </w:r>
          </w:p>
          <w:p w:rsidR="00B3174D" w:rsidRPr="004925D7" w:rsidRDefault="00B3174D" w:rsidP="00B3174D">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[(a + b + c)/d]*100,000</w:t>
            </w:r>
          </w:p>
          <w:p w:rsidR="00B3174D" w:rsidRPr="004925D7" w:rsidRDefault="00B3174D" w:rsidP="00B3174D">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a = number of destroyed or damaged health facilities attributed to disasters</w:t>
            </w:r>
          </w:p>
          <w:p w:rsidR="00B3174D" w:rsidRPr="004925D7" w:rsidRDefault="00B3174D" w:rsidP="00B3174D">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Other components with no direct role for health</w:t>
            </w:r>
          </w:p>
          <w:p w:rsidR="00B3174D" w:rsidRPr="004925D7" w:rsidRDefault="00B3174D" w:rsidP="00B3174D">
            <w:pPr>
              <w:numPr>
                <w:ilvl w:val="1"/>
                <w:numId w:val="22"/>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b = number of destroyed or damaged educational facilities attributed to disasters</w:t>
            </w:r>
          </w:p>
          <w:p w:rsidR="00B3174D" w:rsidRPr="004925D7" w:rsidRDefault="00B3174D" w:rsidP="00B3174D">
            <w:pPr>
              <w:numPr>
                <w:ilvl w:val="1"/>
                <w:numId w:val="22"/>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c = number of other destroyed or damaged critical infrastructure units attributed to disasters (decision regarding those elements of critical infrastructure to be included in the calculation will be left to the Member States)</w:t>
            </w:r>
          </w:p>
          <w:p w:rsidR="00B3174D" w:rsidRPr="004925D7" w:rsidRDefault="00B3174D" w:rsidP="00B3174D">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d = population</w:t>
            </w:r>
          </w:p>
          <w:p w:rsidR="00B3174D" w:rsidRPr="004925D7" w:rsidRDefault="00B3174D" w:rsidP="00B3174D">
            <w:pPr>
              <w:cnfStyle w:val="000000000000" w:firstRow="0" w:lastRow="0" w:firstColumn="0" w:lastColumn="0" w:oddVBand="0" w:evenVBand="0" w:oddHBand="0" w:evenHBand="0" w:firstRowFirstColumn="0" w:firstRowLastColumn="0" w:lastRowFirstColumn="0" w:lastRowLastColumn="0"/>
              <w:rPr>
                <w:rFonts w:cs="Arial"/>
                <w:sz w:val="20"/>
                <w:szCs w:val="20"/>
              </w:rPr>
            </w:pPr>
          </w:p>
          <w:p w:rsidR="00B3174D" w:rsidRPr="004925D7" w:rsidRDefault="00B3174D" w:rsidP="00B3174D">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4925D7">
              <w:rPr>
                <w:rFonts w:cs="Arial"/>
                <w:b/>
                <w:sz w:val="20"/>
                <w:szCs w:val="20"/>
              </w:rPr>
              <w:t>D-5. Disruption to basic services</w:t>
            </w:r>
          </w:p>
          <w:p w:rsidR="00B3174D" w:rsidRPr="004925D7" w:rsidRDefault="00B3174D" w:rsidP="00B3174D">
            <w:pPr>
              <w:numPr>
                <w:ilvl w:val="0"/>
                <w:numId w:val="23"/>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[(e + f + g)/d]*100,000</w:t>
            </w:r>
          </w:p>
          <w:p w:rsidR="00B3174D" w:rsidRPr="004925D7" w:rsidRDefault="00B3174D" w:rsidP="00B3174D">
            <w:pPr>
              <w:numPr>
                <w:ilvl w:val="0"/>
                <w:numId w:val="23"/>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f = number of disruptions to health services attributed to disasters (consider healthcare staff)</w:t>
            </w:r>
          </w:p>
          <w:p w:rsidR="00B3174D" w:rsidRPr="004925D7" w:rsidRDefault="00B3174D" w:rsidP="00B3174D">
            <w:pPr>
              <w:numPr>
                <w:ilvl w:val="0"/>
                <w:numId w:val="23"/>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Other components with no direct role for health</w:t>
            </w:r>
          </w:p>
          <w:p w:rsidR="00B3174D" w:rsidRPr="004925D7" w:rsidRDefault="00B3174D" w:rsidP="00B3174D">
            <w:pPr>
              <w:numPr>
                <w:ilvl w:val="1"/>
                <w:numId w:val="23"/>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e = number of disruptions to educational services attributed to disasters</w:t>
            </w:r>
          </w:p>
          <w:p w:rsidR="001335E7" w:rsidRPr="004925D7" w:rsidRDefault="00B3174D" w:rsidP="00CD4D2A">
            <w:pPr>
              <w:numPr>
                <w:ilvl w:val="1"/>
                <w:numId w:val="23"/>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g = number of disruptions to other basic services attributed to disasters (decision regarding those elements of critical infrastructure to be included in the calculation will be left to the Member States; e.g. power/energy, sewerage, solid waste management, transport, water supply, ICT, emergency response)</w:t>
            </w:r>
          </w:p>
        </w:tc>
      </w:tr>
      <w:tr w:rsidR="001335E7" w:rsidRPr="00CD4D2A" w:rsidTr="002310FC">
        <w:trPr>
          <w:trHeight w:val="886"/>
        </w:trPr>
        <w:tc>
          <w:tcPr>
            <w:cnfStyle w:val="001000000000" w:firstRow="0" w:lastRow="0" w:firstColumn="1" w:lastColumn="0" w:oddVBand="0" w:evenVBand="0" w:oddHBand="0" w:evenHBand="0" w:firstRowFirstColumn="0" w:firstRowLastColumn="0" w:lastRowFirstColumn="0" w:lastRowLastColumn="0"/>
            <w:tcW w:w="1340" w:type="pct"/>
            <w:vAlign w:val="center"/>
          </w:tcPr>
          <w:p w:rsidR="001335E7" w:rsidRPr="00CD4D2A" w:rsidRDefault="001335E7" w:rsidP="00673E59">
            <w:pPr>
              <w:autoSpaceDE w:val="0"/>
              <w:autoSpaceDN w:val="0"/>
              <w:adjustRightInd w:val="0"/>
              <w:rPr>
                <w:rFonts w:cs="Arial"/>
                <w:bCs w:val="0"/>
                <w:sz w:val="20"/>
                <w:szCs w:val="20"/>
              </w:rPr>
            </w:pPr>
            <w:r w:rsidRPr="00CD4D2A">
              <w:rPr>
                <w:rFonts w:cs="Arial"/>
                <w:bCs w:val="0"/>
                <w:sz w:val="20"/>
                <w:szCs w:val="20"/>
              </w:rPr>
              <w:t>Indicator Components</w:t>
            </w:r>
          </w:p>
        </w:tc>
        <w:tc>
          <w:tcPr>
            <w:tcW w:w="3660" w:type="pct"/>
            <w:vAlign w:val="center"/>
          </w:tcPr>
          <w:p w:rsidR="00B3174D" w:rsidRPr="004925D7" w:rsidRDefault="00B3174D" w:rsidP="00B3174D">
            <w:pPr>
              <w:cnfStyle w:val="000000000000" w:firstRow="0" w:lastRow="0" w:firstColumn="0" w:lastColumn="0" w:oddVBand="0" w:evenVBand="0" w:oddHBand="0" w:evenHBand="0" w:firstRowFirstColumn="0" w:firstRowLastColumn="0" w:lastRowFirstColumn="0" w:lastRowLastColumn="0"/>
              <w:rPr>
                <w:rFonts w:cs="Arial"/>
                <w:b/>
                <w:sz w:val="20"/>
                <w:szCs w:val="20"/>
              </w:rPr>
            </w:pPr>
            <w:r w:rsidRPr="004925D7">
              <w:rPr>
                <w:rFonts w:cs="Arial"/>
                <w:b/>
                <w:sz w:val="20"/>
                <w:szCs w:val="20"/>
              </w:rPr>
              <w:t>Health facilities</w:t>
            </w:r>
          </w:p>
          <w:p w:rsidR="00B3174D" w:rsidRPr="004925D7" w:rsidRDefault="00B3174D" w:rsidP="00B3174D">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Infrastructure damage</w:t>
            </w:r>
          </w:p>
          <w:p w:rsidR="00B3174D" w:rsidRPr="004925D7" w:rsidRDefault="00B3174D" w:rsidP="00B3174D">
            <w:pPr>
              <w:numPr>
                <w:ilvl w:val="1"/>
                <w:numId w:val="19"/>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Data source: (hospitals, clinics, health centres)</w:t>
            </w:r>
          </w:p>
          <w:p w:rsidR="00B3174D" w:rsidRPr="004925D7" w:rsidRDefault="00B3174D" w:rsidP="00B3174D">
            <w:pPr>
              <w:numPr>
                <w:ilvl w:val="1"/>
                <w:numId w:val="19"/>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Data requirements</w:t>
            </w:r>
          </w:p>
          <w:p w:rsidR="00B3174D" w:rsidRPr="004925D7" w:rsidRDefault="00B3174D" w:rsidP="00B3174D">
            <w:pPr>
              <w:numPr>
                <w:ilvl w:val="2"/>
                <w:numId w:val="19"/>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Minimum = Total number by hazard</w:t>
            </w:r>
          </w:p>
          <w:p w:rsidR="00B3174D" w:rsidRPr="004925D7" w:rsidRDefault="00B3174D" w:rsidP="00B3174D">
            <w:pPr>
              <w:numPr>
                <w:ilvl w:val="2"/>
                <w:numId w:val="19"/>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Recommended = by geography, damaged/destroyed, size of facility</w:t>
            </w:r>
          </w:p>
          <w:p w:rsidR="00B3174D" w:rsidRPr="004925D7" w:rsidRDefault="00B3174D" w:rsidP="00B3174D">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Service disruption</w:t>
            </w:r>
            <w:r w:rsidR="00A45DCA" w:rsidRPr="004925D7">
              <w:rPr>
                <w:rFonts w:cs="Arial"/>
                <w:sz w:val="20"/>
                <w:szCs w:val="20"/>
              </w:rPr>
              <w:t xml:space="preserve"> – interruption of the service either partial or full; decrease in the quality of service; reduction in the coverage of the service; or the infrastructure supporting the service was damaged or destroyed.</w:t>
            </w:r>
          </w:p>
          <w:p w:rsidR="00B3174D" w:rsidRPr="004925D7" w:rsidRDefault="00B3174D" w:rsidP="00FD06D1">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p>
          <w:p w:rsidR="00B3174D" w:rsidRPr="004925D7" w:rsidRDefault="00B3174D" w:rsidP="00B3174D">
            <w:pPr>
              <w:numPr>
                <w:ilvl w:val="1"/>
                <w:numId w:val="19"/>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Data requirements</w:t>
            </w:r>
          </w:p>
          <w:p w:rsidR="00CD4D2A" w:rsidRPr="004925D7" w:rsidRDefault="00B3174D" w:rsidP="00CD4D2A">
            <w:pPr>
              <w:numPr>
                <w:ilvl w:val="2"/>
                <w:numId w:val="19"/>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Minimum = Total number by hazard</w:t>
            </w:r>
          </w:p>
          <w:p w:rsidR="001335E7" w:rsidRPr="004925D7" w:rsidRDefault="00B3174D" w:rsidP="00CD4D2A">
            <w:pPr>
              <w:numPr>
                <w:ilvl w:val="2"/>
                <w:numId w:val="19"/>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Recommended = by geography</w:t>
            </w:r>
          </w:p>
          <w:p w:rsidR="00884A49" w:rsidRPr="004925D7" w:rsidRDefault="003917BA">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Facility disruption due to reduc</w:t>
            </w:r>
            <w:r w:rsidR="0042551A" w:rsidRPr="004925D7">
              <w:rPr>
                <w:rFonts w:cs="Arial"/>
                <w:sz w:val="20"/>
                <w:szCs w:val="20"/>
              </w:rPr>
              <w:t xml:space="preserve">tion in </w:t>
            </w:r>
            <w:r w:rsidRPr="004925D7">
              <w:rPr>
                <w:rFonts w:cs="Arial"/>
                <w:sz w:val="20"/>
                <w:szCs w:val="20"/>
              </w:rPr>
              <w:t>staffing</w:t>
            </w:r>
            <w:r w:rsidR="0042551A" w:rsidRPr="004925D7">
              <w:rPr>
                <w:rFonts w:cs="Arial"/>
                <w:sz w:val="20"/>
                <w:szCs w:val="20"/>
              </w:rPr>
              <w:t xml:space="preserve"> levels </w:t>
            </w:r>
          </w:p>
        </w:tc>
      </w:tr>
      <w:tr w:rsidR="001335E7" w:rsidRPr="00CD4D2A" w:rsidTr="002310FC">
        <w:trPr>
          <w:trHeight w:val="886"/>
        </w:trPr>
        <w:tc>
          <w:tcPr>
            <w:cnfStyle w:val="001000000000" w:firstRow="0" w:lastRow="0" w:firstColumn="1" w:lastColumn="0" w:oddVBand="0" w:evenVBand="0" w:oddHBand="0" w:evenHBand="0" w:firstRowFirstColumn="0" w:firstRowLastColumn="0" w:lastRowFirstColumn="0" w:lastRowLastColumn="0"/>
            <w:tcW w:w="1340" w:type="pct"/>
            <w:vAlign w:val="center"/>
          </w:tcPr>
          <w:p w:rsidR="001335E7" w:rsidRPr="00CD4D2A" w:rsidRDefault="001335E7" w:rsidP="00673E59">
            <w:pPr>
              <w:autoSpaceDE w:val="0"/>
              <w:autoSpaceDN w:val="0"/>
              <w:adjustRightInd w:val="0"/>
              <w:rPr>
                <w:rFonts w:cs="Arial"/>
                <w:bCs w:val="0"/>
                <w:sz w:val="20"/>
                <w:szCs w:val="20"/>
              </w:rPr>
            </w:pPr>
            <w:r w:rsidRPr="00CD4D2A">
              <w:rPr>
                <w:rFonts w:cs="Arial"/>
                <w:bCs w:val="0"/>
                <w:sz w:val="20"/>
                <w:szCs w:val="20"/>
              </w:rPr>
              <w:t>Represented population</w:t>
            </w:r>
          </w:p>
        </w:tc>
        <w:tc>
          <w:tcPr>
            <w:tcW w:w="3660" w:type="pct"/>
            <w:vAlign w:val="center"/>
          </w:tcPr>
          <w:p w:rsidR="003F0240" w:rsidRPr="004925D7" w:rsidRDefault="003F0240" w:rsidP="003F0240">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National census (National Statistics Office)</w:t>
            </w:r>
          </w:p>
          <w:p w:rsidR="003F0240" w:rsidRPr="004925D7" w:rsidRDefault="003F0240" w:rsidP="003F0240">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 xml:space="preserve">Query over timeliness - may need inter-census estimates (e.g. World Bank, </w:t>
            </w:r>
            <w:proofErr w:type="spellStart"/>
            <w:r w:rsidRPr="004925D7">
              <w:rPr>
                <w:rFonts w:cs="Arial"/>
                <w:sz w:val="20"/>
                <w:szCs w:val="20"/>
              </w:rPr>
              <w:t>UNStats</w:t>
            </w:r>
            <w:proofErr w:type="spellEnd"/>
            <w:r w:rsidRPr="004925D7">
              <w:rPr>
                <w:rFonts w:cs="Arial"/>
                <w:sz w:val="20"/>
                <w:szCs w:val="20"/>
              </w:rPr>
              <w:t>)</w:t>
            </w:r>
          </w:p>
          <w:p w:rsidR="001335E7" w:rsidRPr="004925D7" w:rsidRDefault="001335E7" w:rsidP="00673E59">
            <w:p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1335E7" w:rsidRPr="00CD4D2A" w:rsidTr="002310FC">
        <w:trPr>
          <w:trHeight w:val="886"/>
        </w:trPr>
        <w:tc>
          <w:tcPr>
            <w:cnfStyle w:val="001000000000" w:firstRow="0" w:lastRow="0" w:firstColumn="1" w:lastColumn="0" w:oddVBand="0" w:evenVBand="0" w:oddHBand="0" w:evenHBand="0" w:firstRowFirstColumn="0" w:firstRowLastColumn="0" w:lastRowFirstColumn="0" w:lastRowLastColumn="0"/>
            <w:tcW w:w="1340" w:type="pct"/>
            <w:vAlign w:val="center"/>
          </w:tcPr>
          <w:p w:rsidR="001335E7" w:rsidRPr="00CD4D2A" w:rsidRDefault="001335E7" w:rsidP="00673E59">
            <w:pPr>
              <w:autoSpaceDE w:val="0"/>
              <w:autoSpaceDN w:val="0"/>
              <w:adjustRightInd w:val="0"/>
              <w:rPr>
                <w:rFonts w:cs="Arial"/>
                <w:bCs w:val="0"/>
                <w:sz w:val="20"/>
                <w:szCs w:val="20"/>
              </w:rPr>
            </w:pPr>
            <w:r w:rsidRPr="00CD4D2A">
              <w:rPr>
                <w:sz w:val="20"/>
                <w:szCs w:val="20"/>
              </w:rPr>
              <w:lastRenderedPageBreak/>
              <w:t>Interpretation considerations</w:t>
            </w:r>
          </w:p>
        </w:tc>
        <w:tc>
          <w:tcPr>
            <w:tcW w:w="3660" w:type="pct"/>
            <w:vAlign w:val="center"/>
          </w:tcPr>
          <w:p w:rsidR="00B3174D" w:rsidRPr="004925D7" w:rsidRDefault="00B3174D" w:rsidP="00B3174D">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Definition</w:t>
            </w:r>
          </w:p>
          <w:p w:rsidR="00B3174D" w:rsidRPr="004925D7" w:rsidRDefault="00B3174D" w:rsidP="00B3174D">
            <w:pPr>
              <w:numPr>
                <w:ilvl w:val="1"/>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Number of facilities not reflecting the size</w:t>
            </w:r>
          </w:p>
          <w:p w:rsidR="00B3174D" w:rsidRPr="004925D7" w:rsidRDefault="00B3174D" w:rsidP="00B3174D">
            <w:pPr>
              <w:numPr>
                <w:ilvl w:val="1"/>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Subjective definition of critical infrastructure/basic services</w:t>
            </w:r>
          </w:p>
          <w:p w:rsidR="00B3174D" w:rsidRPr="004925D7" w:rsidRDefault="00B3174D" w:rsidP="00B3174D">
            <w:pPr>
              <w:numPr>
                <w:ilvl w:val="1"/>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Critical infrastructure classification defined by UNISDR includes major categories and list of proposed elements which can vary</w:t>
            </w:r>
          </w:p>
          <w:p w:rsidR="00B3174D" w:rsidRPr="004925D7" w:rsidRDefault="00B3174D" w:rsidP="00B3174D">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Methodology</w:t>
            </w:r>
          </w:p>
          <w:p w:rsidR="00B3174D" w:rsidRPr="004925D7" w:rsidRDefault="00B3174D" w:rsidP="00B3174D">
            <w:pPr>
              <w:numPr>
                <w:ilvl w:val="1"/>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4925D7">
              <w:rPr>
                <w:rFonts w:cs="Arial"/>
                <w:sz w:val="20"/>
                <w:szCs w:val="20"/>
              </w:rPr>
              <w:t>Report damage by event to allow for sensitivity analysis w/w/o catastrophic events</w:t>
            </w:r>
          </w:p>
          <w:p w:rsidR="001335E7" w:rsidRPr="004925D7" w:rsidRDefault="001335E7" w:rsidP="00530008">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42551A" w:rsidRPr="00CD4D2A" w:rsidTr="002310FC">
        <w:trPr>
          <w:trHeight w:val="886"/>
        </w:trPr>
        <w:tc>
          <w:tcPr>
            <w:cnfStyle w:val="001000000000" w:firstRow="0" w:lastRow="0" w:firstColumn="1" w:lastColumn="0" w:oddVBand="0" w:evenVBand="0" w:oddHBand="0" w:evenHBand="0" w:firstRowFirstColumn="0" w:firstRowLastColumn="0" w:lastRowFirstColumn="0" w:lastRowLastColumn="0"/>
            <w:tcW w:w="1340" w:type="pct"/>
            <w:vAlign w:val="center"/>
          </w:tcPr>
          <w:p w:rsidR="0042551A" w:rsidRPr="00CD4D2A" w:rsidRDefault="00530008" w:rsidP="00673E59">
            <w:pPr>
              <w:autoSpaceDE w:val="0"/>
              <w:autoSpaceDN w:val="0"/>
              <w:adjustRightInd w:val="0"/>
              <w:rPr>
                <w:sz w:val="20"/>
                <w:szCs w:val="20"/>
              </w:rPr>
            </w:pPr>
            <w:r>
              <w:rPr>
                <w:sz w:val="20"/>
                <w:szCs w:val="20"/>
              </w:rPr>
              <w:t>Customisable indicators</w:t>
            </w:r>
          </w:p>
        </w:tc>
        <w:tc>
          <w:tcPr>
            <w:tcW w:w="3660" w:type="pct"/>
            <w:vAlign w:val="center"/>
          </w:tcPr>
          <w:p w:rsidR="00530008" w:rsidRPr="004925D7" w:rsidRDefault="00530008" w:rsidP="00530008">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rPr>
            </w:pPr>
            <w:r w:rsidRPr="004925D7">
              <w:rPr>
                <w:rFonts w:cs="Arial"/>
                <w:bCs/>
                <w:color w:val="000000"/>
                <w:sz w:val="20"/>
                <w:szCs w:val="20"/>
              </w:rPr>
              <w:t>The health sector is concerned with damage and disruption to health services from all types of hazards. Ministries of Health should consider monitoring and reporting on the following:</w:t>
            </w:r>
          </w:p>
          <w:p w:rsidR="00530008" w:rsidRPr="004925D7" w:rsidRDefault="00530008" w:rsidP="00530008">
            <w:pPr>
              <w:cnfStyle w:val="000000000000" w:firstRow="0" w:lastRow="0" w:firstColumn="0" w:lastColumn="0" w:oddVBand="0" w:evenVBand="0" w:oddHBand="0" w:evenHBand="0" w:firstRowFirstColumn="0" w:firstRowLastColumn="0" w:lastRowFirstColumn="0" w:lastRowLastColumn="0"/>
              <w:rPr>
                <w:rFonts w:cs="Arial"/>
                <w:bCs/>
                <w:color w:val="000000"/>
                <w:sz w:val="20"/>
                <w:szCs w:val="20"/>
              </w:rPr>
            </w:pPr>
          </w:p>
          <w:p w:rsidR="00530008" w:rsidRPr="004925D7" w:rsidRDefault="00530008" w:rsidP="004925D7">
            <w:pPr>
              <w:pStyle w:val="ListParagraph"/>
              <w:numPr>
                <w:ilvl w:val="0"/>
                <w:numId w:val="30"/>
              </w:numPr>
              <w:ind w:left="459"/>
              <w:cnfStyle w:val="000000000000" w:firstRow="0" w:lastRow="0" w:firstColumn="0" w:lastColumn="0" w:oddVBand="0" w:evenVBand="0" w:oddHBand="0" w:evenHBand="0" w:firstRowFirstColumn="0" w:firstRowLastColumn="0" w:lastRowFirstColumn="0" w:lastRowLastColumn="0"/>
              <w:rPr>
                <w:sz w:val="20"/>
                <w:szCs w:val="20"/>
              </w:rPr>
            </w:pPr>
            <w:r w:rsidRPr="004925D7">
              <w:rPr>
                <w:rFonts w:cs="Arial"/>
                <w:bCs/>
                <w:color w:val="000000"/>
                <w:sz w:val="20"/>
                <w:szCs w:val="20"/>
              </w:rPr>
              <w:t>Number of disruptions to health services attributed to all types of hazardous events disasters</w:t>
            </w:r>
          </w:p>
          <w:p w:rsidR="00530008" w:rsidRPr="004925D7" w:rsidRDefault="00530008" w:rsidP="004925D7">
            <w:pPr>
              <w:pStyle w:val="ListParagraph"/>
              <w:numPr>
                <w:ilvl w:val="0"/>
                <w:numId w:val="30"/>
              </w:numPr>
              <w:autoSpaceDE w:val="0"/>
              <w:autoSpaceDN w:val="0"/>
              <w:adjustRightInd w:val="0"/>
              <w:ind w:left="459"/>
              <w:jc w:val="both"/>
              <w:cnfStyle w:val="000000000000" w:firstRow="0" w:lastRow="0" w:firstColumn="0" w:lastColumn="0" w:oddVBand="0" w:evenVBand="0" w:oddHBand="0" w:evenHBand="0" w:firstRowFirstColumn="0" w:firstRowLastColumn="0" w:lastRowFirstColumn="0" w:lastRowLastColumn="0"/>
              <w:rPr>
                <w:rFonts w:cs="Arial"/>
                <w:bCs/>
                <w:color w:val="000000"/>
                <w:sz w:val="20"/>
                <w:szCs w:val="20"/>
              </w:rPr>
            </w:pPr>
            <w:r w:rsidRPr="004925D7">
              <w:rPr>
                <w:rFonts w:cs="Arial"/>
                <w:bCs/>
                <w:color w:val="000000"/>
                <w:sz w:val="20"/>
                <w:szCs w:val="20"/>
              </w:rPr>
              <w:t>Number of destroyed or damaged health facilities attributed to all types of hazardous events</w:t>
            </w:r>
          </w:p>
          <w:p w:rsidR="00530008" w:rsidRPr="004925D7" w:rsidRDefault="00530008" w:rsidP="004925D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color w:val="000000"/>
                <w:sz w:val="20"/>
                <w:szCs w:val="20"/>
              </w:rPr>
            </w:pPr>
          </w:p>
          <w:p w:rsidR="0042551A" w:rsidRPr="004925D7" w:rsidRDefault="00530008" w:rsidP="004925D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bCs/>
                <w:color w:val="000000"/>
                <w:sz w:val="20"/>
                <w:szCs w:val="20"/>
              </w:rPr>
            </w:pPr>
            <w:r w:rsidRPr="004925D7">
              <w:rPr>
                <w:rFonts w:cs="Arial"/>
                <w:bCs/>
                <w:color w:val="000000"/>
                <w:sz w:val="20"/>
                <w:szCs w:val="20"/>
              </w:rPr>
              <w:t xml:space="preserve">The </w:t>
            </w:r>
            <w:proofErr w:type="spellStart"/>
            <w:r w:rsidRPr="004925D7">
              <w:rPr>
                <w:rFonts w:cs="Arial"/>
                <w:bCs/>
                <w:color w:val="000000"/>
                <w:sz w:val="20"/>
                <w:szCs w:val="20"/>
              </w:rPr>
              <w:t>HeRAMS</w:t>
            </w:r>
            <w:proofErr w:type="spellEnd"/>
            <w:r w:rsidRPr="004925D7">
              <w:rPr>
                <w:rFonts w:cs="Arial"/>
                <w:bCs/>
                <w:color w:val="000000"/>
                <w:sz w:val="20"/>
                <w:szCs w:val="20"/>
              </w:rPr>
              <w:t xml:space="preserve"> tool could be applied to all types of events.</w:t>
            </w:r>
          </w:p>
        </w:tc>
      </w:tr>
    </w:tbl>
    <w:p w:rsidR="00276C2A" w:rsidRDefault="00276C2A" w:rsidP="002310FC">
      <w:pPr>
        <w:spacing w:after="0" w:line="360" w:lineRule="auto"/>
        <w:ind w:left="66"/>
      </w:pPr>
    </w:p>
    <w:p w:rsidR="007575E7" w:rsidRDefault="007575E7" w:rsidP="007575E7">
      <w:pPr>
        <w:spacing w:after="0" w:line="240" w:lineRule="auto"/>
        <w:ind w:left="66"/>
      </w:pPr>
    </w:p>
    <w:p w:rsidR="007575E7" w:rsidRPr="0032591D" w:rsidRDefault="007575E7" w:rsidP="007575E7">
      <w:pPr>
        <w:spacing w:after="0" w:line="240" w:lineRule="auto"/>
        <w:ind w:left="66"/>
        <w:rPr>
          <w:b/>
        </w:rPr>
      </w:pPr>
      <w:r w:rsidRPr="0032591D">
        <w:rPr>
          <w:b/>
        </w:rPr>
        <w:t>4.</w:t>
      </w:r>
      <w:r w:rsidRPr="0032591D">
        <w:rPr>
          <w:b/>
        </w:rPr>
        <w:tab/>
        <w:t>Reporting</w:t>
      </w:r>
    </w:p>
    <w:p w:rsidR="007575E7" w:rsidRDefault="007575E7" w:rsidP="007575E7">
      <w:pPr>
        <w:spacing w:after="0" w:line="240" w:lineRule="auto"/>
        <w:ind w:left="66"/>
        <w:jc w:val="both"/>
      </w:pPr>
    </w:p>
    <w:p w:rsidR="007575E7" w:rsidRDefault="007575E7" w:rsidP="007575E7">
      <w:pPr>
        <w:spacing w:after="0" w:line="240" w:lineRule="auto"/>
        <w:ind w:left="66"/>
        <w:jc w:val="both"/>
      </w:pPr>
      <w:r>
        <w:t xml:space="preserve">This guidance notes has outlined the key role that Ministries of Health have in providing data to support reporting against Sendai Framework Target D.  </w:t>
      </w:r>
    </w:p>
    <w:p w:rsidR="007575E7" w:rsidRDefault="007575E7" w:rsidP="007575E7">
      <w:pPr>
        <w:spacing w:after="0" w:line="240" w:lineRule="auto"/>
        <w:ind w:left="66"/>
        <w:jc w:val="both"/>
      </w:pPr>
    </w:p>
    <w:p w:rsidR="007575E7" w:rsidRDefault="007575E7" w:rsidP="009B385D">
      <w:pPr>
        <w:spacing w:after="0" w:line="240" w:lineRule="auto"/>
        <w:ind w:left="66"/>
        <w:jc w:val="both"/>
      </w:pPr>
      <w:r>
        <w:t xml:space="preserve">Each country’s Sendai Framework Monitoring National Focal Point has responsibility for submitting national reports for the Sendai Framework. UNISDR developed a web based tool to support Member States in reporting against the indicators.  The Sendai Framework Monitor </w:t>
      </w:r>
      <w:hyperlink r:id="rId10" w:history="1">
        <w:r w:rsidRPr="001131DE">
          <w:rPr>
            <w:rStyle w:val="Hyperlink"/>
          </w:rPr>
          <w:t>https://sendaimonitor.unisdr.org/</w:t>
        </w:r>
      </w:hyperlink>
      <w:r>
        <w:t xml:space="preserve"> not only functions as a reporting tool but also functions as a management tool to help countries develop disaster risk reduction strategies, make risk-informed policy decisions and allocate resources to </w:t>
      </w:r>
      <w:r w:rsidR="00530008">
        <w:t xml:space="preserve">manage </w:t>
      </w:r>
      <w:r>
        <w:t>risks.</w:t>
      </w:r>
    </w:p>
    <w:p w:rsidR="007575E7" w:rsidRDefault="007575E7" w:rsidP="007575E7">
      <w:pPr>
        <w:spacing w:after="0" w:line="240" w:lineRule="auto"/>
        <w:ind w:left="66"/>
        <w:jc w:val="both"/>
      </w:pPr>
    </w:p>
    <w:p w:rsidR="007575E7" w:rsidRDefault="007575E7" w:rsidP="007575E7">
      <w:pPr>
        <w:spacing w:after="0" w:line="240" w:lineRule="auto"/>
        <w:ind w:left="66"/>
        <w:jc w:val="both"/>
      </w:pPr>
      <w:r>
        <w:t>As of March 1, 2018, Member States have been reporting against the indicators for measuring the global targets of the Sendai Framework, and disaster risk reduction-related indicators of the SDGs, using the online Sendai Framework Monitor.  It is important that the relevant officials in the Ministries of Health are either linked to the National Focal point or is granted access to the Sendai framework Monitor to input health data as outlined in the Guidance Note above.”</w:t>
      </w:r>
    </w:p>
    <w:p w:rsidR="007575E7" w:rsidRDefault="007575E7" w:rsidP="002310FC">
      <w:pPr>
        <w:spacing w:after="0" w:line="360" w:lineRule="auto"/>
        <w:ind w:left="66"/>
      </w:pPr>
    </w:p>
    <w:p w:rsidR="007575E7" w:rsidRDefault="007575E7" w:rsidP="002310FC">
      <w:pPr>
        <w:spacing w:after="0" w:line="360" w:lineRule="auto"/>
        <w:ind w:left="66"/>
      </w:pPr>
    </w:p>
    <w:sectPr w:rsidR="007575E7" w:rsidSect="003C4FF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4B" w:rsidRDefault="0010494B" w:rsidP="00A45DCA">
      <w:pPr>
        <w:spacing w:after="0" w:line="240" w:lineRule="auto"/>
      </w:pPr>
      <w:r>
        <w:separator/>
      </w:r>
    </w:p>
    <w:p w:rsidR="0010494B" w:rsidRDefault="0010494B"/>
  </w:endnote>
  <w:endnote w:type="continuationSeparator" w:id="0">
    <w:p w:rsidR="0010494B" w:rsidRDefault="0010494B" w:rsidP="00A45DCA">
      <w:pPr>
        <w:spacing w:after="0" w:line="240" w:lineRule="auto"/>
      </w:pPr>
      <w:r>
        <w:continuationSeparator/>
      </w:r>
    </w:p>
    <w:p w:rsidR="0010494B" w:rsidRDefault="00104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D2" w:rsidRDefault="00687BD2">
    <w:pPr>
      <w:pStyle w:val="Footer"/>
    </w:pPr>
  </w:p>
  <w:p w:rsidR="00474DA6" w:rsidRDefault="00474D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85320878"/>
      <w:docPartObj>
        <w:docPartGallery w:val="Page Numbers (Bottom of Page)"/>
        <w:docPartUnique/>
      </w:docPartObj>
    </w:sdtPr>
    <w:sdtEndPr>
      <w:rPr>
        <w:color w:val="A6A6A6" w:themeColor="background1" w:themeShade="A6"/>
      </w:rPr>
    </w:sdtEndPr>
    <w:sdtContent>
      <w:sdt>
        <w:sdtPr>
          <w:rPr>
            <w:color w:val="A6A6A6" w:themeColor="background1" w:themeShade="A6"/>
            <w:sz w:val="18"/>
            <w:szCs w:val="18"/>
          </w:rPr>
          <w:id w:val="860082579"/>
          <w:docPartObj>
            <w:docPartGallery w:val="Page Numbers (Top of Page)"/>
            <w:docPartUnique/>
          </w:docPartObj>
        </w:sdtPr>
        <w:sdtEndPr/>
        <w:sdtContent>
          <w:p w:rsidR="00A31C18" w:rsidRPr="00F07C9D" w:rsidRDefault="00A31C18">
            <w:pPr>
              <w:pStyle w:val="Footer"/>
              <w:jc w:val="right"/>
              <w:rPr>
                <w:color w:val="A6A6A6" w:themeColor="background1" w:themeShade="A6"/>
                <w:sz w:val="18"/>
                <w:szCs w:val="18"/>
              </w:rPr>
            </w:pPr>
            <w:r w:rsidRPr="00F07C9D">
              <w:rPr>
                <w:color w:val="A6A6A6" w:themeColor="background1" w:themeShade="A6"/>
                <w:sz w:val="18"/>
                <w:szCs w:val="18"/>
              </w:rPr>
              <w:t xml:space="preserve">Page </w:t>
            </w:r>
            <w:r w:rsidR="003C4FF3" w:rsidRPr="00F07C9D">
              <w:rPr>
                <w:bCs/>
                <w:color w:val="A6A6A6" w:themeColor="background1" w:themeShade="A6"/>
                <w:sz w:val="18"/>
                <w:szCs w:val="18"/>
              </w:rPr>
              <w:fldChar w:fldCharType="begin"/>
            </w:r>
            <w:r w:rsidRPr="00F07C9D">
              <w:rPr>
                <w:bCs/>
                <w:color w:val="A6A6A6" w:themeColor="background1" w:themeShade="A6"/>
                <w:sz w:val="18"/>
                <w:szCs w:val="18"/>
              </w:rPr>
              <w:instrText xml:space="preserve"> PAGE </w:instrText>
            </w:r>
            <w:r w:rsidR="003C4FF3" w:rsidRPr="00F07C9D">
              <w:rPr>
                <w:bCs/>
                <w:color w:val="A6A6A6" w:themeColor="background1" w:themeShade="A6"/>
                <w:sz w:val="18"/>
                <w:szCs w:val="18"/>
              </w:rPr>
              <w:fldChar w:fldCharType="separate"/>
            </w:r>
            <w:r w:rsidR="00F22778">
              <w:rPr>
                <w:bCs/>
                <w:noProof/>
                <w:color w:val="A6A6A6" w:themeColor="background1" w:themeShade="A6"/>
                <w:sz w:val="18"/>
                <w:szCs w:val="18"/>
              </w:rPr>
              <w:t>3</w:t>
            </w:r>
            <w:r w:rsidR="003C4FF3" w:rsidRPr="00F07C9D">
              <w:rPr>
                <w:bCs/>
                <w:color w:val="A6A6A6" w:themeColor="background1" w:themeShade="A6"/>
                <w:sz w:val="18"/>
                <w:szCs w:val="18"/>
              </w:rPr>
              <w:fldChar w:fldCharType="end"/>
            </w:r>
            <w:r w:rsidRPr="00F07C9D">
              <w:rPr>
                <w:color w:val="A6A6A6" w:themeColor="background1" w:themeShade="A6"/>
                <w:sz w:val="18"/>
                <w:szCs w:val="18"/>
              </w:rPr>
              <w:t xml:space="preserve"> of </w:t>
            </w:r>
            <w:r w:rsidR="003C4FF3" w:rsidRPr="00F07C9D">
              <w:rPr>
                <w:bCs/>
                <w:color w:val="A6A6A6" w:themeColor="background1" w:themeShade="A6"/>
                <w:sz w:val="18"/>
                <w:szCs w:val="18"/>
              </w:rPr>
              <w:fldChar w:fldCharType="begin"/>
            </w:r>
            <w:r w:rsidRPr="00F07C9D">
              <w:rPr>
                <w:bCs/>
                <w:color w:val="A6A6A6" w:themeColor="background1" w:themeShade="A6"/>
                <w:sz w:val="18"/>
                <w:szCs w:val="18"/>
              </w:rPr>
              <w:instrText xml:space="preserve"> NUMPAGES  </w:instrText>
            </w:r>
            <w:r w:rsidR="003C4FF3" w:rsidRPr="00F07C9D">
              <w:rPr>
                <w:bCs/>
                <w:color w:val="A6A6A6" w:themeColor="background1" w:themeShade="A6"/>
                <w:sz w:val="18"/>
                <w:szCs w:val="18"/>
              </w:rPr>
              <w:fldChar w:fldCharType="separate"/>
            </w:r>
            <w:r w:rsidR="00F22778">
              <w:rPr>
                <w:bCs/>
                <w:noProof/>
                <w:color w:val="A6A6A6" w:themeColor="background1" w:themeShade="A6"/>
                <w:sz w:val="18"/>
                <w:szCs w:val="18"/>
              </w:rPr>
              <w:t>5</w:t>
            </w:r>
            <w:r w:rsidR="003C4FF3" w:rsidRPr="00F07C9D">
              <w:rPr>
                <w:bCs/>
                <w:color w:val="A6A6A6" w:themeColor="background1" w:themeShade="A6"/>
                <w:sz w:val="18"/>
                <w:szCs w:val="18"/>
              </w:rPr>
              <w:fldChar w:fldCharType="end"/>
            </w:r>
          </w:p>
        </w:sdtContent>
      </w:sdt>
    </w:sdtContent>
  </w:sdt>
  <w:p w:rsidR="00A31C18" w:rsidRPr="00F07C9D" w:rsidRDefault="000925F3">
    <w:pPr>
      <w:pStyle w:val="Footer"/>
      <w:rPr>
        <w:sz w:val="18"/>
        <w:szCs w:val="18"/>
      </w:rPr>
    </w:pPr>
    <w:r w:rsidRPr="00F07C9D">
      <w:rPr>
        <w:sz w:val="18"/>
        <w:szCs w:val="18"/>
      </w:rPr>
      <w:fldChar w:fldCharType="begin"/>
    </w:r>
    <w:r w:rsidRPr="00F07C9D">
      <w:rPr>
        <w:sz w:val="18"/>
        <w:szCs w:val="18"/>
      </w:rPr>
      <w:instrText xml:space="preserve"> FILENAME  \* Lower  \* MERGEFORMAT </w:instrText>
    </w:r>
    <w:r w:rsidRPr="00F07C9D">
      <w:rPr>
        <w:sz w:val="18"/>
        <w:szCs w:val="18"/>
      </w:rPr>
      <w:fldChar w:fldCharType="separate"/>
    </w:r>
    <w:r w:rsidR="00687BD2" w:rsidRPr="00F07C9D">
      <w:rPr>
        <w:noProof/>
        <w:sz w:val="18"/>
        <w:szCs w:val="18"/>
      </w:rPr>
      <w:t>181116 target D sendai reporting guidance notes draft clean.docx</w:t>
    </w:r>
    <w:r w:rsidRPr="00F07C9D">
      <w:rPr>
        <w:noProof/>
        <w:sz w:val="18"/>
        <w:szCs w:val="18"/>
      </w:rPr>
      <w:fldChar w:fldCharType="end"/>
    </w:r>
  </w:p>
  <w:p w:rsidR="00474DA6" w:rsidRPr="00F07C9D" w:rsidRDefault="00474DA6">
    <w:pPr>
      <w:rPr>
        <w:i/>
        <w:i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D2" w:rsidRDefault="00687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4B" w:rsidRDefault="0010494B" w:rsidP="00A45DCA">
      <w:pPr>
        <w:spacing w:after="0" w:line="240" w:lineRule="auto"/>
      </w:pPr>
      <w:r>
        <w:separator/>
      </w:r>
    </w:p>
    <w:p w:rsidR="0010494B" w:rsidRDefault="0010494B"/>
  </w:footnote>
  <w:footnote w:type="continuationSeparator" w:id="0">
    <w:p w:rsidR="0010494B" w:rsidRDefault="0010494B" w:rsidP="00A45DCA">
      <w:pPr>
        <w:spacing w:after="0" w:line="240" w:lineRule="auto"/>
      </w:pPr>
      <w:r>
        <w:continuationSeparator/>
      </w:r>
    </w:p>
    <w:p w:rsidR="0010494B" w:rsidRDefault="0010494B"/>
  </w:footnote>
  <w:footnote w:id="1">
    <w:p w:rsidR="007D6F03" w:rsidRDefault="007D6F03">
      <w:pPr>
        <w:pStyle w:val="FootnoteText"/>
      </w:pPr>
      <w:r>
        <w:rPr>
          <w:rStyle w:val="FootnoteReference"/>
        </w:rPr>
        <w:footnoteRef/>
      </w:r>
      <w:r>
        <w:t xml:space="preserve"> </w:t>
      </w:r>
      <w:r w:rsidRPr="007D6F03">
        <w:t>https://www.unisdr.org/files/53080_entrybgpaperglobalsummaryreportdisa.pdf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D2" w:rsidRDefault="00687BD2">
    <w:pPr>
      <w:pStyle w:val="Header"/>
    </w:pPr>
  </w:p>
  <w:p w:rsidR="00474DA6" w:rsidRDefault="00474D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53" w:rsidRPr="00BC5EB6" w:rsidRDefault="0010494B" w:rsidP="006B1B53">
    <w:pPr>
      <w:pStyle w:val="Header"/>
      <w:rPr>
        <w:i/>
        <w:iCs/>
      </w:rPr>
    </w:pPr>
    <w:sdt>
      <w:sdtPr>
        <w:rPr>
          <w:color w:val="A6A6A6" w:themeColor="background1" w:themeShade="A6"/>
          <w:sz w:val="20"/>
          <w:szCs w:val="20"/>
          <w:u w:val="single"/>
        </w:rPr>
        <w:id w:val="2145386855"/>
        <w:docPartObj>
          <w:docPartGallery w:val="Watermarks"/>
          <w:docPartUnique/>
        </w:docPartObj>
      </w:sdtPr>
      <w:sdtEndPr/>
      <w:sdtContent>
        <w:r>
          <w:rPr>
            <w:noProof/>
            <w:color w:val="A6A6A6" w:themeColor="background1" w:themeShade="A6"/>
            <w:sz w:val="20"/>
            <w:szCs w:val="20"/>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1608C" w:rsidRPr="0081608C">
      <w:rPr>
        <w:color w:val="A6A6A6" w:themeColor="background1" w:themeShade="A6"/>
        <w:sz w:val="20"/>
        <w:szCs w:val="20"/>
        <w:u w:val="single"/>
      </w:rPr>
      <w:t xml:space="preserve">     </w:t>
    </w:r>
    <w:r w:rsidR="006B1B53" w:rsidRPr="00BC5EB6">
      <w:rPr>
        <w:i/>
        <w:iCs/>
      </w:rPr>
      <w:t>Draft for review. Please do not quote or distribute further – thank you. WHO</w:t>
    </w:r>
  </w:p>
  <w:p w:rsidR="0081608C" w:rsidRPr="0081608C" w:rsidRDefault="006B1B53" w:rsidP="004925D7">
    <w:pPr>
      <w:pStyle w:val="Header"/>
      <w:tabs>
        <w:tab w:val="clear" w:pos="4513"/>
        <w:tab w:val="clear" w:pos="9026"/>
        <w:tab w:val="left" w:pos="1515"/>
        <w:tab w:val="left" w:pos="6022"/>
      </w:tabs>
      <w:rPr>
        <w:color w:val="A6A6A6" w:themeColor="background1" w:themeShade="A6"/>
        <w:sz w:val="20"/>
        <w:szCs w:val="20"/>
        <w:u w:val="single"/>
      </w:rPr>
    </w:pPr>
    <w:r>
      <w:rPr>
        <w:color w:val="A6A6A6" w:themeColor="background1" w:themeShade="A6"/>
        <w:sz w:val="20"/>
        <w:szCs w:val="20"/>
        <w:u w:val="single"/>
      </w:rPr>
      <w:tab/>
    </w:r>
    <w:r>
      <w:rPr>
        <w:color w:val="A6A6A6" w:themeColor="background1" w:themeShade="A6"/>
        <w:sz w:val="20"/>
        <w:szCs w:val="20"/>
        <w:u w:val="single"/>
      </w:rPr>
      <w:tab/>
    </w:r>
  </w:p>
  <w:p w:rsidR="00A45DCA" w:rsidRDefault="00A45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D2" w:rsidRDefault="00687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BB3"/>
    <w:multiLevelType w:val="multilevel"/>
    <w:tmpl w:val="5530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616718"/>
    <w:multiLevelType w:val="hybridMultilevel"/>
    <w:tmpl w:val="4D98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1643D"/>
    <w:multiLevelType w:val="multilevel"/>
    <w:tmpl w:val="6DC20C7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16723575"/>
    <w:multiLevelType w:val="multilevel"/>
    <w:tmpl w:val="2C74D52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nsid w:val="16F60008"/>
    <w:multiLevelType w:val="multilevel"/>
    <w:tmpl w:val="B38E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081744"/>
    <w:multiLevelType w:val="multilevel"/>
    <w:tmpl w:val="FD3EC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18E788D"/>
    <w:multiLevelType w:val="hybridMultilevel"/>
    <w:tmpl w:val="32DE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E57DB"/>
    <w:multiLevelType w:val="hybridMultilevel"/>
    <w:tmpl w:val="69BCD578"/>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217274"/>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B91F66"/>
    <w:multiLevelType w:val="multilevel"/>
    <w:tmpl w:val="68B09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CE168C5"/>
    <w:multiLevelType w:val="multilevel"/>
    <w:tmpl w:val="4268F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FDC3E9E"/>
    <w:multiLevelType w:val="hybridMultilevel"/>
    <w:tmpl w:val="FD347B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921002"/>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069CA"/>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5A0BDB"/>
    <w:multiLevelType w:val="hybridMultilevel"/>
    <w:tmpl w:val="1A20B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C16ADF"/>
    <w:multiLevelType w:val="multilevel"/>
    <w:tmpl w:val="76E6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1DE5831"/>
    <w:multiLevelType w:val="multilevel"/>
    <w:tmpl w:val="35321A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nsid w:val="32275073"/>
    <w:multiLevelType w:val="hybridMultilevel"/>
    <w:tmpl w:val="0A38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41138F"/>
    <w:multiLevelType w:val="multilevel"/>
    <w:tmpl w:val="1516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4B52F2"/>
    <w:multiLevelType w:val="hybridMultilevel"/>
    <w:tmpl w:val="6304F354"/>
    <w:lvl w:ilvl="0" w:tplc="009C9E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2955D8"/>
    <w:multiLevelType w:val="hybridMultilevel"/>
    <w:tmpl w:val="2BBA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4E6748"/>
    <w:multiLevelType w:val="hybridMultilevel"/>
    <w:tmpl w:val="31061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B26E7A"/>
    <w:multiLevelType w:val="multilevel"/>
    <w:tmpl w:val="41A4B1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nsid w:val="47135D6C"/>
    <w:multiLevelType w:val="multilevel"/>
    <w:tmpl w:val="74C2AD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nsid w:val="57076B09"/>
    <w:multiLevelType w:val="multilevel"/>
    <w:tmpl w:val="10E80CF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nsid w:val="594D1DC8"/>
    <w:multiLevelType w:val="hybridMultilevel"/>
    <w:tmpl w:val="7E2E41D0"/>
    <w:lvl w:ilvl="0" w:tplc="A544B0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024DB9"/>
    <w:multiLevelType w:val="multilevel"/>
    <w:tmpl w:val="E93E82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nsid w:val="6A482765"/>
    <w:multiLevelType w:val="hybridMultilevel"/>
    <w:tmpl w:val="C4186A50"/>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6C47269D"/>
    <w:multiLevelType w:val="hybridMultilevel"/>
    <w:tmpl w:val="32C2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948A1"/>
    <w:multiLevelType w:val="multilevel"/>
    <w:tmpl w:val="F8AEEC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5"/>
  </w:num>
  <w:num w:numId="2">
    <w:abstractNumId w:val="27"/>
  </w:num>
  <w:num w:numId="3">
    <w:abstractNumId w:val="4"/>
  </w:num>
  <w:num w:numId="4">
    <w:abstractNumId w:val="7"/>
  </w:num>
  <w:num w:numId="5">
    <w:abstractNumId w:val="11"/>
  </w:num>
  <w:num w:numId="6">
    <w:abstractNumId w:val="9"/>
  </w:num>
  <w:num w:numId="7">
    <w:abstractNumId w:val="10"/>
  </w:num>
  <w:num w:numId="8">
    <w:abstractNumId w:val="26"/>
  </w:num>
  <w:num w:numId="9">
    <w:abstractNumId w:val="0"/>
  </w:num>
  <w:num w:numId="10">
    <w:abstractNumId w:val="15"/>
  </w:num>
  <w:num w:numId="11">
    <w:abstractNumId w:val="19"/>
  </w:num>
  <w:num w:numId="12">
    <w:abstractNumId w:val="13"/>
  </w:num>
  <w:num w:numId="13">
    <w:abstractNumId w:val="12"/>
  </w:num>
  <w:num w:numId="14">
    <w:abstractNumId w:val="8"/>
  </w:num>
  <w:num w:numId="15">
    <w:abstractNumId w:val="25"/>
  </w:num>
  <w:num w:numId="16">
    <w:abstractNumId w:val="14"/>
  </w:num>
  <w:num w:numId="17">
    <w:abstractNumId w:val="21"/>
  </w:num>
  <w:num w:numId="18">
    <w:abstractNumId w:val="23"/>
  </w:num>
  <w:num w:numId="19">
    <w:abstractNumId w:val="16"/>
  </w:num>
  <w:num w:numId="20">
    <w:abstractNumId w:val="2"/>
  </w:num>
  <w:num w:numId="21">
    <w:abstractNumId w:val="29"/>
  </w:num>
  <w:num w:numId="22">
    <w:abstractNumId w:val="3"/>
  </w:num>
  <w:num w:numId="23">
    <w:abstractNumId w:val="22"/>
  </w:num>
  <w:num w:numId="24">
    <w:abstractNumId w:val="24"/>
  </w:num>
  <w:num w:numId="25">
    <w:abstractNumId w:val="6"/>
  </w:num>
  <w:num w:numId="26">
    <w:abstractNumId w:val="1"/>
  </w:num>
  <w:num w:numId="27">
    <w:abstractNumId w:val="17"/>
  </w:num>
  <w:num w:numId="28">
    <w:abstractNumId w:val="20"/>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75"/>
    <w:rsid w:val="00015422"/>
    <w:rsid w:val="000925F3"/>
    <w:rsid w:val="000F77FC"/>
    <w:rsid w:val="00101C94"/>
    <w:rsid w:val="00104059"/>
    <w:rsid w:val="0010494B"/>
    <w:rsid w:val="0010702C"/>
    <w:rsid w:val="001335E7"/>
    <w:rsid w:val="0018368F"/>
    <w:rsid w:val="001F0291"/>
    <w:rsid w:val="002310FC"/>
    <w:rsid w:val="002317CE"/>
    <w:rsid w:val="00276C2A"/>
    <w:rsid w:val="002D6450"/>
    <w:rsid w:val="002D6D5D"/>
    <w:rsid w:val="0033521D"/>
    <w:rsid w:val="00350901"/>
    <w:rsid w:val="00354B93"/>
    <w:rsid w:val="00375E2D"/>
    <w:rsid w:val="003917BA"/>
    <w:rsid w:val="003B3811"/>
    <w:rsid w:val="003C4FF3"/>
    <w:rsid w:val="003F0240"/>
    <w:rsid w:val="0042551A"/>
    <w:rsid w:val="00474DA6"/>
    <w:rsid w:val="004925D7"/>
    <w:rsid w:val="004D2BF2"/>
    <w:rsid w:val="00530008"/>
    <w:rsid w:val="005D54AA"/>
    <w:rsid w:val="005D62AE"/>
    <w:rsid w:val="005F4A96"/>
    <w:rsid w:val="00605F28"/>
    <w:rsid w:val="00644B33"/>
    <w:rsid w:val="00653669"/>
    <w:rsid w:val="00675563"/>
    <w:rsid w:val="00687BD2"/>
    <w:rsid w:val="0069259F"/>
    <w:rsid w:val="00692AC6"/>
    <w:rsid w:val="006A4893"/>
    <w:rsid w:val="006B1B53"/>
    <w:rsid w:val="006F33FC"/>
    <w:rsid w:val="00733EFA"/>
    <w:rsid w:val="007575E7"/>
    <w:rsid w:val="00790555"/>
    <w:rsid w:val="007D6F03"/>
    <w:rsid w:val="0081608C"/>
    <w:rsid w:val="00830026"/>
    <w:rsid w:val="008350D6"/>
    <w:rsid w:val="008670DF"/>
    <w:rsid w:val="00867FDC"/>
    <w:rsid w:val="00884A49"/>
    <w:rsid w:val="008B171B"/>
    <w:rsid w:val="008B644F"/>
    <w:rsid w:val="008C5965"/>
    <w:rsid w:val="00943B4D"/>
    <w:rsid w:val="009B385D"/>
    <w:rsid w:val="009E5C19"/>
    <w:rsid w:val="009F5446"/>
    <w:rsid w:val="00A31C18"/>
    <w:rsid w:val="00A379AE"/>
    <w:rsid w:val="00A424C1"/>
    <w:rsid w:val="00A45DCA"/>
    <w:rsid w:val="00A6689C"/>
    <w:rsid w:val="00B3174D"/>
    <w:rsid w:val="00B63031"/>
    <w:rsid w:val="00B70DE4"/>
    <w:rsid w:val="00BA6975"/>
    <w:rsid w:val="00C14263"/>
    <w:rsid w:val="00C20106"/>
    <w:rsid w:val="00C44BEE"/>
    <w:rsid w:val="00C54C13"/>
    <w:rsid w:val="00C565E4"/>
    <w:rsid w:val="00C62A28"/>
    <w:rsid w:val="00C9502E"/>
    <w:rsid w:val="00CD4D2A"/>
    <w:rsid w:val="00CD582D"/>
    <w:rsid w:val="00D043F6"/>
    <w:rsid w:val="00D4224B"/>
    <w:rsid w:val="00DC662E"/>
    <w:rsid w:val="00DE7F6E"/>
    <w:rsid w:val="00E23B91"/>
    <w:rsid w:val="00E31097"/>
    <w:rsid w:val="00E6618A"/>
    <w:rsid w:val="00E70D5D"/>
    <w:rsid w:val="00E93108"/>
    <w:rsid w:val="00EE2BAB"/>
    <w:rsid w:val="00F062C3"/>
    <w:rsid w:val="00F07C9D"/>
    <w:rsid w:val="00F12E82"/>
    <w:rsid w:val="00F22778"/>
    <w:rsid w:val="00FD06D1"/>
    <w:rsid w:val="00FD6E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551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paragraph" w:styleId="Heading3">
    <w:name w:val="heading 3"/>
    <w:basedOn w:val="Normal"/>
    <w:link w:val="Heading3Char"/>
    <w:uiPriority w:val="9"/>
    <w:qFormat/>
    <w:rsid w:val="0042551A"/>
    <w:pPr>
      <w:spacing w:before="100" w:beforeAutospacing="1" w:after="100" w:afterAutospacing="1" w:line="240" w:lineRule="auto"/>
      <w:outlineLvl w:val="2"/>
    </w:pPr>
    <w:rPr>
      <w:rFonts w:ascii="Times New Roman" w:eastAsia="Times New Roman" w:hAnsi="Times New Roman" w:cs="Times New Roma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3F0240"/>
    <w:rPr>
      <w:sz w:val="16"/>
      <w:szCs w:val="16"/>
    </w:rPr>
  </w:style>
  <w:style w:type="paragraph" w:styleId="CommentText">
    <w:name w:val="annotation text"/>
    <w:basedOn w:val="Normal"/>
    <w:link w:val="CommentTextChar"/>
    <w:uiPriority w:val="99"/>
    <w:semiHidden/>
    <w:unhideWhenUsed/>
    <w:rsid w:val="003F0240"/>
    <w:pPr>
      <w:spacing w:line="240" w:lineRule="auto"/>
    </w:pPr>
    <w:rPr>
      <w:sz w:val="20"/>
      <w:szCs w:val="20"/>
    </w:rPr>
  </w:style>
  <w:style w:type="character" w:customStyle="1" w:styleId="CommentTextChar">
    <w:name w:val="Comment Text Char"/>
    <w:basedOn w:val="DefaultParagraphFont"/>
    <w:link w:val="CommentText"/>
    <w:uiPriority w:val="99"/>
    <w:semiHidden/>
    <w:rsid w:val="003F0240"/>
    <w:rPr>
      <w:sz w:val="20"/>
      <w:szCs w:val="20"/>
    </w:rPr>
  </w:style>
  <w:style w:type="paragraph" w:styleId="CommentSubject">
    <w:name w:val="annotation subject"/>
    <w:basedOn w:val="CommentText"/>
    <w:next w:val="CommentText"/>
    <w:link w:val="CommentSubjectChar"/>
    <w:uiPriority w:val="99"/>
    <w:semiHidden/>
    <w:unhideWhenUsed/>
    <w:rsid w:val="003F0240"/>
    <w:rPr>
      <w:b/>
      <w:bCs/>
    </w:rPr>
  </w:style>
  <w:style w:type="character" w:customStyle="1" w:styleId="CommentSubjectChar">
    <w:name w:val="Comment Subject Char"/>
    <w:basedOn w:val="CommentTextChar"/>
    <w:link w:val="CommentSubject"/>
    <w:uiPriority w:val="99"/>
    <w:semiHidden/>
    <w:rsid w:val="003F0240"/>
    <w:rPr>
      <w:b/>
      <w:bCs/>
      <w:sz w:val="20"/>
      <w:szCs w:val="20"/>
    </w:rPr>
  </w:style>
  <w:style w:type="paragraph" w:styleId="BalloonText">
    <w:name w:val="Balloon Text"/>
    <w:basedOn w:val="Normal"/>
    <w:link w:val="BalloonTextChar"/>
    <w:uiPriority w:val="99"/>
    <w:semiHidden/>
    <w:unhideWhenUsed/>
    <w:rsid w:val="003F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40"/>
    <w:rPr>
      <w:rFonts w:ascii="Tahoma" w:hAnsi="Tahoma" w:cs="Tahoma"/>
      <w:sz w:val="16"/>
      <w:szCs w:val="16"/>
    </w:rPr>
  </w:style>
  <w:style w:type="paragraph" w:styleId="Bibliography">
    <w:name w:val="Bibliography"/>
    <w:basedOn w:val="Normal"/>
    <w:next w:val="Normal"/>
    <w:uiPriority w:val="37"/>
    <w:unhideWhenUsed/>
    <w:rsid w:val="00276C2A"/>
    <w:pPr>
      <w:spacing w:after="0" w:line="480" w:lineRule="auto"/>
      <w:ind w:left="720" w:hanging="720"/>
    </w:pPr>
  </w:style>
  <w:style w:type="paragraph" w:styleId="Header">
    <w:name w:val="header"/>
    <w:basedOn w:val="Normal"/>
    <w:link w:val="HeaderChar"/>
    <w:uiPriority w:val="99"/>
    <w:unhideWhenUsed/>
    <w:rsid w:val="00A45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DCA"/>
  </w:style>
  <w:style w:type="paragraph" w:styleId="Footer">
    <w:name w:val="footer"/>
    <w:basedOn w:val="Normal"/>
    <w:link w:val="FooterChar"/>
    <w:uiPriority w:val="99"/>
    <w:unhideWhenUsed/>
    <w:rsid w:val="00A45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DCA"/>
  </w:style>
  <w:style w:type="paragraph" w:styleId="FootnoteText">
    <w:name w:val="footnote text"/>
    <w:basedOn w:val="Normal"/>
    <w:link w:val="FootnoteTextChar"/>
    <w:uiPriority w:val="99"/>
    <w:semiHidden/>
    <w:unhideWhenUsed/>
    <w:rsid w:val="00A45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DCA"/>
    <w:rPr>
      <w:sz w:val="20"/>
      <w:szCs w:val="20"/>
    </w:rPr>
  </w:style>
  <w:style w:type="character" w:styleId="FootnoteReference">
    <w:name w:val="footnote reference"/>
    <w:basedOn w:val="DefaultParagraphFont"/>
    <w:uiPriority w:val="99"/>
    <w:semiHidden/>
    <w:unhideWhenUsed/>
    <w:rsid w:val="00A45DCA"/>
    <w:rPr>
      <w:vertAlign w:val="superscript"/>
    </w:rPr>
  </w:style>
  <w:style w:type="character" w:styleId="Hyperlink">
    <w:name w:val="Hyperlink"/>
    <w:basedOn w:val="DefaultParagraphFont"/>
    <w:uiPriority w:val="99"/>
    <w:unhideWhenUsed/>
    <w:rsid w:val="00A45DCA"/>
    <w:rPr>
      <w:color w:val="0000FF" w:themeColor="hyperlink"/>
      <w:u w:val="single"/>
    </w:rPr>
  </w:style>
  <w:style w:type="paragraph" w:styleId="EndnoteText">
    <w:name w:val="endnote text"/>
    <w:basedOn w:val="Normal"/>
    <w:link w:val="EndnoteTextChar"/>
    <w:uiPriority w:val="99"/>
    <w:semiHidden/>
    <w:unhideWhenUsed/>
    <w:rsid w:val="00CD58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82D"/>
    <w:rPr>
      <w:sz w:val="20"/>
      <w:szCs w:val="20"/>
    </w:rPr>
  </w:style>
  <w:style w:type="character" w:styleId="EndnoteReference">
    <w:name w:val="endnote reference"/>
    <w:basedOn w:val="DefaultParagraphFont"/>
    <w:uiPriority w:val="99"/>
    <w:semiHidden/>
    <w:unhideWhenUsed/>
    <w:rsid w:val="00CD582D"/>
    <w:rPr>
      <w:vertAlign w:val="superscript"/>
    </w:rPr>
  </w:style>
  <w:style w:type="character" w:customStyle="1" w:styleId="Heading1Char">
    <w:name w:val="Heading 1 Char"/>
    <w:basedOn w:val="DefaultParagraphFont"/>
    <w:link w:val="Heading1"/>
    <w:uiPriority w:val="9"/>
    <w:rsid w:val="0042551A"/>
    <w:rPr>
      <w:rFonts w:ascii="Times New Roman" w:eastAsia="Times New Roman" w:hAnsi="Times New Roman" w:cs="Times New Roman"/>
      <w:b/>
      <w:bCs/>
      <w:kern w:val="36"/>
      <w:sz w:val="48"/>
      <w:szCs w:val="48"/>
      <w:lang w:val="en-US" w:eastAsia="zh-CN"/>
    </w:rPr>
  </w:style>
  <w:style w:type="character" w:customStyle="1" w:styleId="Heading3Char">
    <w:name w:val="Heading 3 Char"/>
    <w:basedOn w:val="DefaultParagraphFont"/>
    <w:link w:val="Heading3"/>
    <w:uiPriority w:val="9"/>
    <w:rsid w:val="0042551A"/>
    <w:rPr>
      <w:rFonts w:ascii="Times New Roman" w:eastAsia="Times New Roman" w:hAnsi="Times New Roman" w:cs="Times New Roman"/>
      <w:b/>
      <w:bCs/>
      <w:sz w:val="27"/>
      <w:szCs w:val="27"/>
      <w:lang w:val="en-US" w:eastAsia="zh-CN"/>
    </w:rPr>
  </w:style>
  <w:style w:type="paragraph" w:styleId="NormalWeb">
    <w:name w:val="Normal (Web)"/>
    <w:basedOn w:val="Normal"/>
    <w:uiPriority w:val="99"/>
    <w:semiHidden/>
    <w:unhideWhenUsed/>
    <w:rsid w:val="0042551A"/>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551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paragraph" w:styleId="Heading3">
    <w:name w:val="heading 3"/>
    <w:basedOn w:val="Normal"/>
    <w:link w:val="Heading3Char"/>
    <w:uiPriority w:val="9"/>
    <w:qFormat/>
    <w:rsid w:val="0042551A"/>
    <w:pPr>
      <w:spacing w:before="100" w:beforeAutospacing="1" w:after="100" w:afterAutospacing="1" w:line="240" w:lineRule="auto"/>
      <w:outlineLvl w:val="2"/>
    </w:pPr>
    <w:rPr>
      <w:rFonts w:ascii="Times New Roman" w:eastAsia="Times New Roman" w:hAnsi="Times New Roman" w:cs="Times New Roma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3F0240"/>
    <w:rPr>
      <w:sz w:val="16"/>
      <w:szCs w:val="16"/>
    </w:rPr>
  </w:style>
  <w:style w:type="paragraph" w:styleId="CommentText">
    <w:name w:val="annotation text"/>
    <w:basedOn w:val="Normal"/>
    <w:link w:val="CommentTextChar"/>
    <w:uiPriority w:val="99"/>
    <w:semiHidden/>
    <w:unhideWhenUsed/>
    <w:rsid w:val="003F0240"/>
    <w:pPr>
      <w:spacing w:line="240" w:lineRule="auto"/>
    </w:pPr>
    <w:rPr>
      <w:sz w:val="20"/>
      <w:szCs w:val="20"/>
    </w:rPr>
  </w:style>
  <w:style w:type="character" w:customStyle="1" w:styleId="CommentTextChar">
    <w:name w:val="Comment Text Char"/>
    <w:basedOn w:val="DefaultParagraphFont"/>
    <w:link w:val="CommentText"/>
    <w:uiPriority w:val="99"/>
    <w:semiHidden/>
    <w:rsid w:val="003F0240"/>
    <w:rPr>
      <w:sz w:val="20"/>
      <w:szCs w:val="20"/>
    </w:rPr>
  </w:style>
  <w:style w:type="paragraph" w:styleId="CommentSubject">
    <w:name w:val="annotation subject"/>
    <w:basedOn w:val="CommentText"/>
    <w:next w:val="CommentText"/>
    <w:link w:val="CommentSubjectChar"/>
    <w:uiPriority w:val="99"/>
    <w:semiHidden/>
    <w:unhideWhenUsed/>
    <w:rsid w:val="003F0240"/>
    <w:rPr>
      <w:b/>
      <w:bCs/>
    </w:rPr>
  </w:style>
  <w:style w:type="character" w:customStyle="1" w:styleId="CommentSubjectChar">
    <w:name w:val="Comment Subject Char"/>
    <w:basedOn w:val="CommentTextChar"/>
    <w:link w:val="CommentSubject"/>
    <w:uiPriority w:val="99"/>
    <w:semiHidden/>
    <w:rsid w:val="003F0240"/>
    <w:rPr>
      <w:b/>
      <w:bCs/>
      <w:sz w:val="20"/>
      <w:szCs w:val="20"/>
    </w:rPr>
  </w:style>
  <w:style w:type="paragraph" w:styleId="BalloonText">
    <w:name w:val="Balloon Text"/>
    <w:basedOn w:val="Normal"/>
    <w:link w:val="BalloonTextChar"/>
    <w:uiPriority w:val="99"/>
    <w:semiHidden/>
    <w:unhideWhenUsed/>
    <w:rsid w:val="003F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40"/>
    <w:rPr>
      <w:rFonts w:ascii="Tahoma" w:hAnsi="Tahoma" w:cs="Tahoma"/>
      <w:sz w:val="16"/>
      <w:szCs w:val="16"/>
    </w:rPr>
  </w:style>
  <w:style w:type="paragraph" w:styleId="Bibliography">
    <w:name w:val="Bibliography"/>
    <w:basedOn w:val="Normal"/>
    <w:next w:val="Normal"/>
    <w:uiPriority w:val="37"/>
    <w:unhideWhenUsed/>
    <w:rsid w:val="00276C2A"/>
    <w:pPr>
      <w:spacing w:after="0" w:line="480" w:lineRule="auto"/>
      <w:ind w:left="720" w:hanging="720"/>
    </w:pPr>
  </w:style>
  <w:style w:type="paragraph" w:styleId="Header">
    <w:name w:val="header"/>
    <w:basedOn w:val="Normal"/>
    <w:link w:val="HeaderChar"/>
    <w:uiPriority w:val="99"/>
    <w:unhideWhenUsed/>
    <w:rsid w:val="00A45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DCA"/>
  </w:style>
  <w:style w:type="paragraph" w:styleId="Footer">
    <w:name w:val="footer"/>
    <w:basedOn w:val="Normal"/>
    <w:link w:val="FooterChar"/>
    <w:uiPriority w:val="99"/>
    <w:unhideWhenUsed/>
    <w:rsid w:val="00A45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DCA"/>
  </w:style>
  <w:style w:type="paragraph" w:styleId="FootnoteText">
    <w:name w:val="footnote text"/>
    <w:basedOn w:val="Normal"/>
    <w:link w:val="FootnoteTextChar"/>
    <w:uiPriority w:val="99"/>
    <w:semiHidden/>
    <w:unhideWhenUsed/>
    <w:rsid w:val="00A45D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DCA"/>
    <w:rPr>
      <w:sz w:val="20"/>
      <w:szCs w:val="20"/>
    </w:rPr>
  </w:style>
  <w:style w:type="character" w:styleId="FootnoteReference">
    <w:name w:val="footnote reference"/>
    <w:basedOn w:val="DefaultParagraphFont"/>
    <w:uiPriority w:val="99"/>
    <w:semiHidden/>
    <w:unhideWhenUsed/>
    <w:rsid w:val="00A45DCA"/>
    <w:rPr>
      <w:vertAlign w:val="superscript"/>
    </w:rPr>
  </w:style>
  <w:style w:type="character" w:styleId="Hyperlink">
    <w:name w:val="Hyperlink"/>
    <w:basedOn w:val="DefaultParagraphFont"/>
    <w:uiPriority w:val="99"/>
    <w:unhideWhenUsed/>
    <w:rsid w:val="00A45DCA"/>
    <w:rPr>
      <w:color w:val="0000FF" w:themeColor="hyperlink"/>
      <w:u w:val="single"/>
    </w:rPr>
  </w:style>
  <w:style w:type="paragraph" w:styleId="EndnoteText">
    <w:name w:val="endnote text"/>
    <w:basedOn w:val="Normal"/>
    <w:link w:val="EndnoteTextChar"/>
    <w:uiPriority w:val="99"/>
    <w:semiHidden/>
    <w:unhideWhenUsed/>
    <w:rsid w:val="00CD58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82D"/>
    <w:rPr>
      <w:sz w:val="20"/>
      <w:szCs w:val="20"/>
    </w:rPr>
  </w:style>
  <w:style w:type="character" w:styleId="EndnoteReference">
    <w:name w:val="endnote reference"/>
    <w:basedOn w:val="DefaultParagraphFont"/>
    <w:uiPriority w:val="99"/>
    <w:semiHidden/>
    <w:unhideWhenUsed/>
    <w:rsid w:val="00CD582D"/>
    <w:rPr>
      <w:vertAlign w:val="superscript"/>
    </w:rPr>
  </w:style>
  <w:style w:type="character" w:customStyle="1" w:styleId="Heading1Char">
    <w:name w:val="Heading 1 Char"/>
    <w:basedOn w:val="DefaultParagraphFont"/>
    <w:link w:val="Heading1"/>
    <w:uiPriority w:val="9"/>
    <w:rsid w:val="0042551A"/>
    <w:rPr>
      <w:rFonts w:ascii="Times New Roman" w:eastAsia="Times New Roman" w:hAnsi="Times New Roman" w:cs="Times New Roman"/>
      <w:b/>
      <w:bCs/>
      <w:kern w:val="36"/>
      <w:sz w:val="48"/>
      <w:szCs w:val="48"/>
      <w:lang w:val="en-US" w:eastAsia="zh-CN"/>
    </w:rPr>
  </w:style>
  <w:style w:type="character" w:customStyle="1" w:styleId="Heading3Char">
    <w:name w:val="Heading 3 Char"/>
    <w:basedOn w:val="DefaultParagraphFont"/>
    <w:link w:val="Heading3"/>
    <w:uiPriority w:val="9"/>
    <w:rsid w:val="0042551A"/>
    <w:rPr>
      <w:rFonts w:ascii="Times New Roman" w:eastAsia="Times New Roman" w:hAnsi="Times New Roman" w:cs="Times New Roman"/>
      <w:b/>
      <w:bCs/>
      <w:sz w:val="27"/>
      <w:szCs w:val="27"/>
      <w:lang w:val="en-US" w:eastAsia="zh-CN"/>
    </w:rPr>
  </w:style>
  <w:style w:type="paragraph" w:styleId="NormalWeb">
    <w:name w:val="Normal (Web)"/>
    <w:basedOn w:val="Normal"/>
    <w:uiPriority w:val="99"/>
    <w:semiHidden/>
    <w:unhideWhenUsed/>
    <w:rsid w:val="0042551A"/>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2219">
      <w:bodyDiv w:val="1"/>
      <w:marLeft w:val="0"/>
      <w:marRight w:val="0"/>
      <w:marTop w:val="0"/>
      <w:marBottom w:val="0"/>
      <w:divBdr>
        <w:top w:val="none" w:sz="0" w:space="0" w:color="auto"/>
        <w:left w:val="none" w:sz="0" w:space="0" w:color="auto"/>
        <w:bottom w:val="none" w:sz="0" w:space="0" w:color="auto"/>
        <w:right w:val="none" w:sz="0" w:space="0" w:color="auto"/>
      </w:divBdr>
      <w:divsChild>
        <w:div w:id="243881052">
          <w:marLeft w:val="0"/>
          <w:marRight w:val="0"/>
          <w:marTop w:val="0"/>
          <w:marBottom w:val="0"/>
          <w:divBdr>
            <w:top w:val="none" w:sz="0" w:space="0" w:color="auto"/>
            <w:left w:val="none" w:sz="0" w:space="0" w:color="auto"/>
            <w:bottom w:val="none" w:sz="0" w:space="0" w:color="auto"/>
            <w:right w:val="none" w:sz="0" w:space="0" w:color="auto"/>
          </w:divBdr>
          <w:divsChild>
            <w:div w:id="1480686517">
              <w:marLeft w:val="0"/>
              <w:marRight w:val="0"/>
              <w:marTop w:val="0"/>
              <w:marBottom w:val="0"/>
              <w:divBdr>
                <w:top w:val="none" w:sz="0" w:space="0" w:color="auto"/>
                <w:left w:val="none" w:sz="0" w:space="0" w:color="auto"/>
                <w:bottom w:val="none" w:sz="0" w:space="0" w:color="auto"/>
                <w:right w:val="none" w:sz="0" w:space="0" w:color="auto"/>
              </w:divBdr>
              <w:divsChild>
                <w:div w:id="474763328">
                  <w:marLeft w:val="0"/>
                  <w:marRight w:val="0"/>
                  <w:marTop w:val="0"/>
                  <w:marBottom w:val="0"/>
                  <w:divBdr>
                    <w:top w:val="none" w:sz="0" w:space="0" w:color="auto"/>
                    <w:left w:val="none" w:sz="0" w:space="0" w:color="auto"/>
                    <w:bottom w:val="none" w:sz="0" w:space="0" w:color="auto"/>
                    <w:right w:val="none" w:sz="0" w:space="0" w:color="auto"/>
                  </w:divBdr>
                  <w:divsChild>
                    <w:div w:id="643461449">
                      <w:marLeft w:val="0"/>
                      <w:marRight w:val="0"/>
                      <w:marTop w:val="0"/>
                      <w:marBottom w:val="0"/>
                      <w:divBdr>
                        <w:top w:val="none" w:sz="0" w:space="0" w:color="auto"/>
                        <w:left w:val="none" w:sz="0" w:space="0" w:color="auto"/>
                        <w:bottom w:val="none" w:sz="0" w:space="0" w:color="auto"/>
                        <w:right w:val="none" w:sz="0" w:space="0" w:color="auto"/>
                      </w:divBdr>
                      <w:divsChild>
                        <w:div w:id="1951012509">
                          <w:marLeft w:val="0"/>
                          <w:marRight w:val="0"/>
                          <w:marTop w:val="0"/>
                          <w:marBottom w:val="0"/>
                          <w:divBdr>
                            <w:top w:val="none" w:sz="0" w:space="0" w:color="auto"/>
                            <w:left w:val="none" w:sz="0" w:space="0" w:color="auto"/>
                            <w:bottom w:val="none" w:sz="0" w:space="0" w:color="auto"/>
                            <w:right w:val="none" w:sz="0" w:space="0" w:color="auto"/>
                          </w:divBdr>
                          <w:divsChild>
                            <w:div w:id="18858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62110">
      <w:bodyDiv w:val="1"/>
      <w:marLeft w:val="0"/>
      <w:marRight w:val="0"/>
      <w:marTop w:val="0"/>
      <w:marBottom w:val="0"/>
      <w:divBdr>
        <w:top w:val="none" w:sz="0" w:space="0" w:color="auto"/>
        <w:left w:val="none" w:sz="0" w:space="0" w:color="auto"/>
        <w:bottom w:val="none" w:sz="0" w:space="0" w:color="auto"/>
        <w:right w:val="none" w:sz="0" w:space="0" w:color="auto"/>
      </w:divBdr>
      <w:divsChild>
        <w:div w:id="682320679">
          <w:marLeft w:val="0"/>
          <w:marRight w:val="0"/>
          <w:marTop w:val="0"/>
          <w:marBottom w:val="0"/>
          <w:divBdr>
            <w:top w:val="none" w:sz="0" w:space="0" w:color="auto"/>
            <w:left w:val="none" w:sz="0" w:space="0" w:color="auto"/>
            <w:bottom w:val="none" w:sz="0" w:space="0" w:color="auto"/>
            <w:right w:val="none" w:sz="0" w:space="0" w:color="auto"/>
          </w:divBdr>
          <w:divsChild>
            <w:div w:id="148450138">
              <w:marLeft w:val="0"/>
              <w:marRight w:val="0"/>
              <w:marTop w:val="0"/>
              <w:marBottom w:val="0"/>
              <w:divBdr>
                <w:top w:val="none" w:sz="0" w:space="0" w:color="auto"/>
                <w:left w:val="none" w:sz="0" w:space="0" w:color="auto"/>
                <w:bottom w:val="none" w:sz="0" w:space="0" w:color="auto"/>
                <w:right w:val="none" w:sz="0" w:space="0" w:color="auto"/>
              </w:divBdr>
              <w:divsChild>
                <w:div w:id="1457722653">
                  <w:marLeft w:val="0"/>
                  <w:marRight w:val="0"/>
                  <w:marTop w:val="0"/>
                  <w:marBottom w:val="0"/>
                  <w:divBdr>
                    <w:top w:val="none" w:sz="0" w:space="0" w:color="auto"/>
                    <w:left w:val="none" w:sz="0" w:space="0" w:color="auto"/>
                    <w:bottom w:val="none" w:sz="0" w:space="0" w:color="auto"/>
                    <w:right w:val="none" w:sz="0" w:space="0" w:color="auto"/>
                  </w:divBdr>
                  <w:divsChild>
                    <w:div w:id="464465231">
                      <w:marLeft w:val="0"/>
                      <w:marRight w:val="0"/>
                      <w:marTop w:val="0"/>
                      <w:marBottom w:val="0"/>
                      <w:divBdr>
                        <w:top w:val="none" w:sz="0" w:space="0" w:color="auto"/>
                        <w:left w:val="none" w:sz="0" w:space="0" w:color="auto"/>
                        <w:bottom w:val="none" w:sz="0" w:space="0" w:color="auto"/>
                        <w:right w:val="none" w:sz="0" w:space="0" w:color="auto"/>
                      </w:divBdr>
                      <w:divsChild>
                        <w:div w:id="214514483">
                          <w:marLeft w:val="0"/>
                          <w:marRight w:val="0"/>
                          <w:marTop w:val="0"/>
                          <w:marBottom w:val="0"/>
                          <w:divBdr>
                            <w:top w:val="none" w:sz="0" w:space="0" w:color="auto"/>
                            <w:left w:val="none" w:sz="0" w:space="0" w:color="auto"/>
                            <w:bottom w:val="none" w:sz="0" w:space="0" w:color="auto"/>
                            <w:right w:val="none" w:sz="0" w:space="0" w:color="auto"/>
                          </w:divBdr>
                          <w:divsChild>
                            <w:div w:id="2075395960">
                              <w:marLeft w:val="0"/>
                              <w:marRight w:val="0"/>
                              <w:marTop w:val="0"/>
                              <w:marBottom w:val="0"/>
                              <w:divBdr>
                                <w:top w:val="none" w:sz="0" w:space="0" w:color="auto"/>
                                <w:left w:val="none" w:sz="0" w:space="0" w:color="auto"/>
                                <w:bottom w:val="none" w:sz="0" w:space="0" w:color="auto"/>
                                <w:right w:val="none" w:sz="0" w:space="0" w:color="auto"/>
                              </w:divBdr>
                              <w:divsChild>
                                <w:div w:id="19052885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endaimonitor.unisdr.org/" TargetMode="External"/><Relationship Id="rId4" Type="http://schemas.microsoft.com/office/2007/relationships/stylesWithEffects" Target="stylesWithEffects.xml"/><Relationship Id="rId9" Type="http://schemas.openxmlformats.org/officeDocument/2006/relationships/hyperlink" Target="http://www.who.int/hac/herams/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E801C4-D887-4D92-94EE-4036F754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Rohaida Ismail</dc:creator>
  <cp:lastModifiedBy>Jonathan Abrahams</cp:lastModifiedBy>
  <cp:revision>4</cp:revision>
  <cp:lastPrinted>2018-11-07T15:50:00Z</cp:lastPrinted>
  <dcterms:created xsi:type="dcterms:W3CDTF">2018-11-17T13:20:00Z</dcterms:created>
  <dcterms:modified xsi:type="dcterms:W3CDTF">2018-11-18T15:15:00Z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id="1IJ28alj"/&gt;&lt;style id="http://www.zotero.org/styles/apa" locale="en-US" hasBibliography="1" bibliographyStyleHasBeenSet="1"/&gt;&lt;prefs&gt;&lt;pref name="fieldType" value="Field"/&gt;&lt;/prefs&gt;&lt;/data&gt;</vt:lpwstr>
  </property>
</Properties>
</file>