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3B" w:rsidRPr="00A67164" w:rsidRDefault="007E263B" w:rsidP="007E263B">
      <w:pPr>
        <w:jc w:val="center"/>
        <w:rPr>
          <w:b/>
          <w:sz w:val="20"/>
          <w:szCs w:val="20"/>
        </w:rPr>
      </w:pPr>
      <w:bookmarkStart w:id="0" w:name="_GoBack"/>
      <w:bookmarkEnd w:id="0"/>
      <w:r w:rsidRPr="00A67164">
        <w:rPr>
          <w:b/>
          <w:bCs/>
          <w:color w:val="1F497D"/>
          <w:sz w:val="20"/>
          <w:szCs w:val="20"/>
        </w:rPr>
        <w:t>WHO Technical Guidance Notes on Sendai Framework reporting for Ministries of Health</w:t>
      </w:r>
    </w:p>
    <w:p w:rsidR="007E263B" w:rsidRDefault="007E263B" w:rsidP="00806D7E">
      <w:pPr>
        <w:spacing w:after="0" w:line="240" w:lineRule="auto"/>
        <w:rPr>
          <w:b/>
        </w:rPr>
      </w:pPr>
    </w:p>
    <w:p w:rsidR="008B171B" w:rsidRPr="00806D7E" w:rsidRDefault="00806D7E" w:rsidP="00806D7E">
      <w:pPr>
        <w:spacing w:after="0" w:line="240" w:lineRule="auto"/>
        <w:rPr>
          <w:b/>
        </w:rPr>
      </w:pPr>
      <w:r>
        <w:rPr>
          <w:b/>
        </w:rPr>
        <w:t xml:space="preserve">Target C: </w:t>
      </w:r>
      <w:r w:rsidRPr="00806D7E">
        <w:rPr>
          <w:b/>
        </w:rPr>
        <w:t>Reduce direct disaster economic loss in relation to global gross domestic product (GDP) by 2030</w:t>
      </w:r>
    </w:p>
    <w:p w:rsidR="008B171B" w:rsidRDefault="008B171B" w:rsidP="00806D7E">
      <w:pPr>
        <w:spacing w:after="0" w:line="240" w:lineRule="auto"/>
        <w:rPr>
          <w:color w:val="0000CC"/>
        </w:rPr>
      </w:pPr>
    </w:p>
    <w:p w:rsidR="00430271" w:rsidRPr="00B9114C" w:rsidRDefault="00C70B7E" w:rsidP="006222DF">
      <w:pPr>
        <w:spacing w:after="0" w:line="240" w:lineRule="auto"/>
      </w:pPr>
      <w:r w:rsidRPr="00B9114C">
        <w:t xml:space="preserve">Despite progress during the implementation of the Hyogo </w:t>
      </w:r>
      <w:r w:rsidR="00B9114C" w:rsidRPr="00B9114C">
        <w:t>Framework</w:t>
      </w:r>
      <w:r w:rsidRPr="00B9114C">
        <w:t xml:space="preserve"> in building physical resilience to disasters, economic losses remain substantive.  This Target seeks to </w:t>
      </w:r>
      <w:r w:rsidR="00B9114C" w:rsidRPr="00B9114C">
        <w:t>develop reliable and consistent economic-loss calculations which will improve understanding of the cascading impact of disasters on economic welfare and productivity.</w:t>
      </w:r>
      <w:r w:rsidR="007E263B">
        <w:t xml:space="preserve"> </w:t>
      </w:r>
      <w:r w:rsidR="00A61D8F">
        <w:t>The</w:t>
      </w:r>
      <w:r w:rsidR="007E263B">
        <w:t xml:space="preserve"> indicator on direct economic loss is included in the SDGs. As far as health is concerned, the direct economic loss </w:t>
      </w:r>
      <w:r w:rsidR="006222DF">
        <w:t xml:space="preserve">is focused on </w:t>
      </w:r>
      <w:r w:rsidR="00A61D8F">
        <w:t xml:space="preserve">costs associated with </w:t>
      </w:r>
      <w:r w:rsidR="007E263B">
        <w:t>damage to health facilities</w:t>
      </w:r>
      <w:r w:rsidR="00A61D8F">
        <w:t xml:space="preserve"> and is linked to Target D.</w:t>
      </w:r>
    </w:p>
    <w:p w:rsidR="00430271" w:rsidRPr="008B171B" w:rsidRDefault="00430271" w:rsidP="00806D7E">
      <w:pPr>
        <w:spacing w:after="0" w:line="240" w:lineRule="auto"/>
        <w:rPr>
          <w:color w:val="0000CC"/>
        </w:rPr>
      </w:pPr>
    </w:p>
    <w:p w:rsidR="008B171B" w:rsidRDefault="008B171B" w:rsidP="008B171B">
      <w:pPr>
        <w:pStyle w:val="ListParagraph"/>
        <w:numPr>
          <w:ilvl w:val="0"/>
          <w:numId w:val="1"/>
        </w:numPr>
        <w:spacing w:after="0" w:line="360" w:lineRule="auto"/>
        <w:ind w:left="426"/>
        <w:rPr>
          <w:b/>
        </w:rPr>
      </w:pPr>
      <w:r>
        <w:rPr>
          <w:b/>
        </w:rPr>
        <w:t>Indicator</w:t>
      </w:r>
    </w:p>
    <w:p w:rsidR="006008F2" w:rsidRDefault="006008F2" w:rsidP="006008F2">
      <w:pPr>
        <w:spacing w:after="0" w:line="240" w:lineRule="auto"/>
        <w:rPr>
          <w:i/>
        </w:rPr>
      </w:pPr>
      <w:r>
        <w:t>The table below lists the indicators recommended by the OIEWG for measurement of global Target C of the Sendai Framework, and which were endorsed by the U</w:t>
      </w:r>
      <w:r w:rsidR="008054A1">
        <w:t>N</w:t>
      </w:r>
      <w:r>
        <w:t xml:space="preserve"> General Assembly in its resolution A/RES/71/276, </w:t>
      </w:r>
      <w:r>
        <w:rPr>
          <w:i/>
        </w:rPr>
        <w:t>Report of the open-ended intergovernmental expert working group on indicators and terminology relating to disaster risk reduction.</w:t>
      </w:r>
    </w:p>
    <w:p w:rsidR="006008F2" w:rsidRPr="006008F2" w:rsidRDefault="006008F2" w:rsidP="006008F2">
      <w:pPr>
        <w:spacing w:after="0" w:line="360" w:lineRule="auto"/>
      </w:pPr>
    </w:p>
    <w:tbl>
      <w:tblPr>
        <w:tblStyle w:val="MediumGrid3-Accent1"/>
        <w:tblW w:w="4888" w:type="pct"/>
        <w:tblLook w:val="0620" w:firstRow="1" w:lastRow="0" w:firstColumn="0" w:lastColumn="0" w:noHBand="1" w:noVBand="1"/>
      </w:tblPr>
      <w:tblGrid>
        <w:gridCol w:w="812"/>
        <w:gridCol w:w="5662"/>
        <w:gridCol w:w="1150"/>
        <w:gridCol w:w="1411"/>
      </w:tblGrid>
      <w:tr w:rsidR="006E7FC4" w:rsidRPr="006F33FC" w:rsidTr="001D4FA2">
        <w:trPr>
          <w:cnfStyle w:val="100000000000" w:firstRow="1" w:lastRow="0" w:firstColumn="0" w:lastColumn="0" w:oddVBand="0" w:evenVBand="0" w:oddHBand="0" w:evenHBand="0" w:firstRowFirstColumn="0" w:firstRowLastColumn="0" w:lastRowFirstColumn="0" w:lastRowLastColumn="0"/>
          <w:trHeight w:val="721"/>
        </w:trPr>
        <w:tc>
          <w:tcPr>
            <w:tcW w:w="453" w:type="pct"/>
            <w:vAlign w:val="center"/>
          </w:tcPr>
          <w:p w:rsidR="006E7FC4" w:rsidRPr="006F33FC" w:rsidRDefault="006E7FC4" w:rsidP="00673E59">
            <w:pPr>
              <w:autoSpaceDE w:val="0"/>
              <w:autoSpaceDN w:val="0"/>
              <w:adjustRightInd w:val="0"/>
              <w:jc w:val="center"/>
              <w:rPr>
                <w:rFonts w:cs="Arial"/>
                <w:bCs w:val="0"/>
                <w:color w:val="FFFFFF"/>
                <w:sz w:val="20"/>
              </w:rPr>
            </w:pPr>
            <w:r w:rsidRPr="006F33FC">
              <w:rPr>
                <w:rFonts w:cs="Arial"/>
                <w:bCs w:val="0"/>
                <w:color w:val="FFFFFF"/>
                <w:sz w:val="20"/>
              </w:rPr>
              <w:t>No.</w:t>
            </w:r>
          </w:p>
        </w:tc>
        <w:tc>
          <w:tcPr>
            <w:tcW w:w="3137" w:type="pct"/>
            <w:vAlign w:val="center"/>
          </w:tcPr>
          <w:p w:rsidR="006E7FC4" w:rsidRPr="006F33FC" w:rsidRDefault="006E7FC4" w:rsidP="00673E59">
            <w:pPr>
              <w:autoSpaceDE w:val="0"/>
              <w:autoSpaceDN w:val="0"/>
              <w:adjustRightInd w:val="0"/>
              <w:jc w:val="center"/>
              <w:rPr>
                <w:rFonts w:cs="Arial"/>
                <w:bCs w:val="0"/>
                <w:color w:val="FFFFFF"/>
                <w:sz w:val="20"/>
              </w:rPr>
            </w:pPr>
            <w:r w:rsidRPr="006F33FC">
              <w:rPr>
                <w:rFonts w:cs="Arial"/>
                <w:bCs w:val="0"/>
                <w:color w:val="FFFFFF"/>
                <w:sz w:val="20"/>
              </w:rPr>
              <w:t>Indicators for measurement at the global level</w:t>
            </w:r>
          </w:p>
        </w:tc>
        <w:tc>
          <w:tcPr>
            <w:tcW w:w="626" w:type="pct"/>
          </w:tcPr>
          <w:p w:rsidR="006E7FC4" w:rsidRPr="006F33FC" w:rsidRDefault="006E7FC4" w:rsidP="00673E59">
            <w:pPr>
              <w:autoSpaceDE w:val="0"/>
              <w:autoSpaceDN w:val="0"/>
              <w:adjustRightInd w:val="0"/>
              <w:jc w:val="center"/>
              <w:rPr>
                <w:rFonts w:cs="Arial"/>
                <w:color w:val="FFFFFF"/>
                <w:sz w:val="20"/>
              </w:rPr>
            </w:pPr>
            <w:r>
              <w:rPr>
                <w:rFonts w:cs="Arial"/>
                <w:color w:val="FFFFFF"/>
                <w:sz w:val="20"/>
              </w:rPr>
              <w:t xml:space="preserve">Health Data required from </w:t>
            </w:r>
            <w:proofErr w:type="spellStart"/>
            <w:r>
              <w:rPr>
                <w:rFonts w:cs="Arial"/>
                <w:color w:val="FFFFFF"/>
                <w:sz w:val="20"/>
              </w:rPr>
              <w:t>MoH</w:t>
            </w:r>
            <w:proofErr w:type="spellEnd"/>
          </w:p>
        </w:tc>
        <w:tc>
          <w:tcPr>
            <w:tcW w:w="784" w:type="pct"/>
            <w:vAlign w:val="center"/>
          </w:tcPr>
          <w:p w:rsidR="006E7FC4" w:rsidRPr="006F33FC" w:rsidRDefault="006E7FC4" w:rsidP="00F852DC">
            <w:pPr>
              <w:autoSpaceDE w:val="0"/>
              <w:autoSpaceDN w:val="0"/>
              <w:adjustRightInd w:val="0"/>
              <w:jc w:val="center"/>
              <w:rPr>
                <w:rFonts w:cs="Arial"/>
                <w:bCs w:val="0"/>
                <w:color w:val="FFFFFF"/>
                <w:sz w:val="20"/>
              </w:rPr>
            </w:pPr>
            <w:r w:rsidRPr="006F33FC">
              <w:rPr>
                <w:rFonts w:cs="Arial"/>
                <w:bCs w:val="0"/>
                <w:color w:val="FFFFFF"/>
                <w:sz w:val="20"/>
              </w:rPr>
              <w:t xml:space="preserve">Link to </w:t>
            </w:r>
            <w:r w:rsidR="00F852DC">
              <w:rPr>
                <w:rFonts w:cs="Arial"/>
                <w:bCs w:val="0"/>
                <w:color w:val="FFFFFF"/>
                <w:sz w:val="20"/>
              </w:rPr>
              <w:t>SDG</w:t>
            </w:r>
            <w:r w:rsidRPr="006F33FC">
              <w:rPr>
                <w:rFonts w:cs="Arial"/>
                <w:bCs w:val="0"/>
                <w:color w:val="FFFFFF"/>
                <w:sz w:val="20"/>
              </w:rPr>
              <w:t xml:space="preserve"> indicators</w:t>
            </w:r>
          </w:p>
        </w:tc>
      </w:tr>
      <w:tr w:rsidR="006E7FC4" w:rsidRPr="006F33FC" w:rsidTr="001D4FA2">
        <w:trPr>
          <w:trHeight w:val="721"/>
        </w:trPr>
        <w:tc>
          <w:tcPr>
            <w:tcW w:w="453" w:type="pct"/>
          </w:tcPr>
          <w:p w:rsidR="006E7FC4" w:rsidRPr="00B9114C" w:rsidRDefault="006E7FC4" w:rsidP="00673E59">
            <w:pPr>
              <w:autoSpaceDE w:val="0"/>
              <w:autoSpaceDN w:val="0"/>
              <w:adjustRightInd w:val="0"/>
              <w:rPr>
                <w:rFonts w:cs="Arial"/>
                <w:color w:val="000000"/>
              </w:rPr>
            </w:pPr>
            <w:r w:rsidRPr="00B9114C">
              <w:rPr>
                <w:rFonts w:cs="Arial"/>
                <w:color w:val="000000"/>
              </w:rPr>
              <w:t>C-1</w:t>
            </w:r>
          </w:p>
        </w:tc>
        <w:tc>
          <w:tcPr>
            <w:tcW w:w="3137" w:type="pct"/>
          </w:tcPr>
          <w:p w:rsidR="006E7FC4" w:rsidRPr="00B9114C" w:rsidRDefault="006E7FC4" w:rsidP="00673E59">
            <w:pPr>
              <w:autoSpaceDE w:val="0"/>
              <w:autoSpaceDN w:val="0"/>
              <w:adjustRightInd w:val="0"/>
              <w:rPr>
                <w:rFonts w:cs="Arial"/>
                <w:color w:val="000000"/>
              </w:rPr>
            </w:pPr>
            <w:r w:rsidRPr="00B9114C">
              <w:rPr>
                <w:rFonts w:cs="Arial"/>
                <w:color w:val="000000"/>
              </w:rPr>
              <w:t>Direct Economic loss attributed to disasters in relation to global gross domestic product. (compound indicator)</w:t>
            </w:r>
          </w:p>
        </w:tc>
        <w:tc>
          <w:tcPr>
            <w:tcW w:w="626" w:type="pct"/>
          </w:tcPr>
          <w:p w:rsidR="006E7FC4" w:rsidRDefault="006E7FC4" w:rsidP="00673E59">
            <w:pPr>
              <w:autoSpaceDE w:val="0"/>
              <w:autoSpaceDN w:val="0"/>
              <w:adjustRightInd w:val="0"/>
              <w:rPr>
                <w:rFonts w:cs="Arial"/>
                <w:color w:val="000000"/>
                <w:sz w:val="20"/>
              </w:rPr>
            </w:pPr>
            <w:r>
              <w:rPr>
                <w:rFonts w:cs="Arial"/>
                <w:color w:val="000000"/>
                <w:sz w:val="20"/>
              </w:rPr>
              <w:t>Yes – health data needs to be included in compound</w:t>
            </w:r>
          </w:p>
        </w:tc>
        <w:tc>
          <w:tcPr>
            <w:tcW w:w="784" w:type="pct"/>
          </w:tcPr>
          <w:p w:rsidR="006E7FC4" w:rsidRDefault="006E7FC4" w:rsidP="00F852DC">
            <w:pPr>
              <w:autoSpaceDE w:val="0"/>
              <w:autoSpaceDN w:val="0"/>
              <w:adjustRightInd w:val="0"/>
              <w:rPr>
                <w:rFonts w:cs="Arial"/>
                <w:color w:val="000000"/>
                <w:sz w:val="20"/>
              </w:rPr>
            </w:pPr>
            <w:r>
              <w:rPr>
                <w:rFonts w:cs="Arial"/>
                <w:color w:val="000000"/>
                <w:sz w:val="20"/>
              </w:rPr>
              <w:t xml:space="preserve">1.5 </w:t>
            </w:r>
            <w:r w:rsidR="00F852DC">
              <w:rPr>
                <w:rFonts w:cs="Arial"/>
                <w:color w:val="000000"/>
                <w:sz w:val="20"/>
              </w:rPr>
              <w:t>,</w:t>
            </w:r>
            <w:r>
              <w:rPr>
                <w:rFonts w:cs="Arial"/>
                <w:color w:val="000000"/>
                <w:sz w:val="20"/>
              </w:rPr>
              <w:t xml:space="preserve"> 11.5</w:t>
            </w:r>
          </w:p>
          <w:p w:rsidR="00326802" w:rsidRPr="006F33FC" w:rsidRDefault="00326802" w:rsidP="00F852DC">
            <w:pPr>
              <w:autoSpaceDE w:val="0"/>
              <w:autoSpaceDN w:val="0"/>
              <w:adjustRightInd w:val="0"/>
              <w:rPr>
                <w:rFonts w:cs="Arial"/>
                <w:color w:val="000000"/>
                <w:sz w:val="20"/>
              </w:rPr>
            </w:pPr>
            <w:r>
              <w:rPr>
                <w:rFonts w:cs="Arial"/>
                <w:color w:val="000000"/>
                <w:sz w:val="20"/>
              </w:rPr>
              <w:t>Sendai Target D</w:t>
            </w:r>
          </w:p>
        </w:tc>
      </w:tr>
      <w:tr w:rsidR="006E7FC4" w:rsidRPr="006F33FC" w:rsidTr="001D4FA2">
        <w:trPr>
          <w:trHeight w:val="721"/>
        </w:trPr>
        <w:tc>
          <w:tcPr>
            <w:tcW w:w="453" w:type="pct"/>
          </w:tcPr>
          <w:p w:rsidR="006E7FC4" w:rsidRPr="00B9114C" w:rsidRDefault="006E7FC4" w:rsidP="00673E59">
            <w:pPr>
              <w:autoSpaceDE w:val="0"/>
              <w:autoSpaceDN w:val="0"/>
              <w:adjustRightInd w:val="0"/>
              <w:rPr>
                <w:rFonts w:cs="Arial"/>
                <w:bCs/>
                <w:color w:val="000000"/>
              </w:rPr>
            </w:pPr>
            <w:r w:rsidRPr="00B9114C">
              <w:rPr>
                <w:rFonts w:cs="Arial"/>
                <w:bCs/>
                <w:color w:val="000000"/>
              </w:rPr>
              <w:t>C-2</w:t>
            </w:r>
          </w:p>
        </w:tc>
        <w:tc>
          <w:tcPr>
            <w:tcW w:w="3137" w:type="pct"/>
          </w:tcPr>
          <w:p w:rsidR="006E7FC4" w:rsidRPr="00B9114C" w:rsidRDefault="006E7FC4" w:rsidP="00673E59">
            <w:pPr>
              <w:autoSpaceDE w:val="0"/>
              <w:autoSpaceDN w:val="0"/>
              <w:adjustRightInd w:val="0"/>
              <w:rPr>
                <w:rFonts w:cs="Arial"/>
                <w:bCs/>
                <w:color w:val="000000"/>
              </w:rPr>
            </w:pPr>
            <w:r w:rsidRPr="00B9114C">
              <w:rPr>
                <w:rFonts w:cs="Arial"/>
                <w:bCs/>
                <w:color w:val="000000"/>
              </w:rPr>
              <w:t>Direct agricultural loss attributed to disasters</w:t>
            </w:r>
          </w:p>
        </w:tc>
        <w:tc>
          <w:tcPr>
            <w:tcW w:w="626" w:type="pct"/>
          </w:tcPr>
          <w:p w:rsidR="006E7FC4" w:rsidRDefault="006E7FC4" w:rsidP="00673E59">
            <w:pPr>
              <w:autoSpaceDE w:val="0"/>
              <w:autoSpaceDN w:val="0"/>
              <w:adjustRightInd w:val="0"/>
              <w:rPr>
                <w:rFonts w:cs="Arial"/>
                <w:bCs/>
                <w:color w:val="000000"/>
                <w:sz w:val="20"/>
              </w:rPr>
            </w:pPr>
            <w:r>
              <w:rPr>
                <w:rFonts w:cs="Arial"/>
                <w:bCs/>
                <w:color w:val="000000"/>
                <w:sz w:val="20"/>
              </w:rPr>
              <w:t>No</w:t>
            </w:r>
          </w:p>
        </w:tc>
        <w:tc>
          <w:tcPr>
            <w:tcW w:w="784" w:type="pct"/>
          </w:tcPr>
          <w:p w:rsidR="006E7FC4" w:rsidRPr="006F33FC" w:rsidRDefault="006E7FC4" w:rsidP="00673E59">
            <w:pPr>
              <w:autoSpaceDE w:val="0"/>
              <w:autoSpaceDN w:val="0"/>
              <w:adjustRightInd w:val="0"/>
              <w:rPr>
                <w:rFonts w:cs="Arial"/>
                <w:bCs/>
                <w:color w:val="000000"/>
                <w:sz w:val="20"/>
              </w:rPr>
            </w:pPr>
          </w:p>
        </w:tc>
      </w:tr>
      <w:tr w:rsidR="006E7FC4" w:rsidRPr="006F33FC" w:rsidTr="001D4FA2">
        <w:trPr>
          <w:trHeight w:val="721"/>
        </w:trPr>
        <w:tc>
          <w:tcPr>
            <w:tcW w:w="453" w:type="pct"/>
          </w:tcPr>
          <w:p w:rsidR="006E7FC4" w:rsidRPr="00B9114C" w:rsidRDefault="006E7FC4" w:rsidP="00673E59">
            <w:pPr>
              <w:autoSpaceDE w:val="0"/>
              <w:autoSpaceDN w:val="0"/>
              <w:adjustRightInd w:val="0"/>
              <w:rPr>
                <w:rFonts w:cs="Arial"/>
                <w:bCs/>
                <w:color w:val="000000"/>
              </w:rPr>
            </w:pPr>
            <w:r w:rsidRPr="00B9114C">
              <w:rPr>
                <w:rFonts w:cs="Arial"/>
                <w:bCs/>
                <w:color w:val="000000"/>
              </w:rPr>
              <w:t>C-3</w:t>
            </w:r>
          </w:p>
        </w:tc>
        <w:tc>
          <w:tcPr>
            <w:tcW w:w="3137" w:type="pct"/>
          </w:tcPr>
          <w:p w:rsidR="006E7FC4" w:rsidRPr="00B9114C" w:rsidRDefault="006E7FC4" w:rsidP="00673E59">
            <w:pPr>
              <w:autoSpaceDE w:val="0"/>
              <w:autoSpaceDN w:val="0"/>
              <w:adjustRightInd w:val="0"/>
              <w:rPr>
                <w:rFonts w:cs="Arial"/>
                <w:bCs/>
                <w:color w:val="000000"/>
              </w:rPr>
            </w:pPr>
            <w:r w:rsidRPr="00B9114C">
              <w:rPr>
                <w:rFonts w:cs="Arial"/>
                <w:bCs/>
                <w:color w:val="000000"/>
              </w:rPr>
              <w:t>Direct economic loss due to all other damaged or destroyed productive assets attributed to disasters</w:t>
            </w:r>
          </w:p>
        </w:tc>
        <w:tc>
          <w:tcPr>
            <w:tcW w:w="626" w:type="pct"/>
          </w:tcPr>
          <w:p w:rsidR="006E7FC4" w:rsidRPr="006F33FC" w:rsidRDefault="006E7FC4" w:rsidP="00673E59">
            <w:pPr>
              <w:autoSpaceDE w:val="0"/>
              <w:autoSpaceDN w:val="0"/>
              <w:adjustRightInd w:val="0"/>
              <w:rPr>
                <w:rFonts w:cs="Arial"/>
                <w:bCs/>
                <w:color w:val="000000"/>
                <w:sz w:val="20"/>
              </w:rPr>
            </w:pPr>
            <w:r>
              <w:rPr>
                <w:rFonts w:cs="Arial"/>
                <w:bCs/>
                <w:color w:val="000000"/>
                <w:sz w:val="20"/>
              </w:rPr>
              <w:t>Yes</w:t>
            </w:r>
          </w:p>
        </w:tc>
        <w:tc>
          <w:tcPr>
            <w:tcW w:w="784" w:type="pct"/>
          </w:tcPr>
          <w:p w:rsidR="006E7FC4" w:rsidRPr="006F33FC" w:rsidRDefault="00326802" w:rsidP="00673E59">
            <w:pPr>
              <w:autoSpaceDE w:val="0"/>
              <w:autoSpaceDN w:val="0"/>
              <w:adjustRightInd w:val="0"/>
              <w:rPr>
                <w:rFonts w:cs="Arial"/>
                <w:bCs/>
                <w:color w:val="000000"/>
                <w:sz w:val="20"/>
              </w:rPr>
            </w:pPr>
            <w:r>
              <w:rPr>
                <w:rFonts w:cs="Arial"/>
                <w:bCs/>
                <w:color w:val="000000"/>
                <w:sz w:val="20"/>
              </w:rPr>
              <w:t>Sendai Target D</w:t>
            </w:r>
          </w:p>
        </w:tc>
      </w:tr>
      <w:tr w:rsidR="006E7FC4" w:rsidRPr="006F33FC" w:rsidTr="001D4FA2">
        <w:trPr>
          <w:trHeight w:val="721"/>
        </w:trPr>
        <w:tc>
          <w:tcPr>
            <w:tcW w:w="453" w:type="pct"/>
          </w:tcPr>
          <w:p w:rsidR="006E7FC4" w:rsidRPr="00B9114C" w:rsidRDefault="006E7FC4" w:rsidP="00673E59">
            <w:pPr>
              <w:autoSpaceDE w:val="0"/>
              <w:autoSpaceDN w:val="0"/>
              <w:adjustRightInd w:val="0"/>
              <w:rPr>
                <w:rFonts w:cs="Arial"/>
                <w:bCs/>
                <w:color w:val="000000"/>
              </w:rPr>
            </w:pPr>
            <w:r w:rsidRPr="00B9114C">
              <w:rPr>
                <w:rFonts w:cs="Arial"/>
                <w:bCs/>
                <w:color w:val="000000"/>
              </w:rPr>
              <w:t>C-4</w:t>
            </w:r>
          </w:p>
        </w:tc>
        <w:tc>
          <w:tcPr>
            <w:tcW w:w="3137" w:type="pct"/>
          </w:tcPr>
          <w:p w:rsidR="006E7FC4" w:rsidRPr="00B9114C" w:rsidRDefault="006E7FC4" w:rsidP="00673E59">
            <w:pPr>
              <w:autoSpaceDE w:val="0"/>
              <w:autoSpaceDN w:val="0"/>
              <w:adjustRightInd w:val="0"/>
              <w:rPr>
                <w:rFonts w:cs="Arial"/>
                <w:bCs/>
                <w:color w:val="000000"/>
              </w:rPr>
            </w:pPr>
            <w:r w:rsidRPr="00B9114C">
              <w:rPr>
                <w:rFonts w:cs="Arial"/>
                <w:bCs/>
                <w:color w:val="000000"/>
              </w:rPr>
              <w:t>Direct economic loss in the housing sector attributed to disasters</w:t>
            </w:r>
          </w:p>
        </w:tc>
        <w:tc>
          <w:tcPr>
            <w:tcW w:w="626" w:type="pct"/>
          </w:tcPr>
          <w:p w:rsidR="006E7FC4" w:rsidRPr="006F33FC" w:rsidRDefault="006E7FC4" w:rsidP="00673E59">
            <w:pPr>
              <w:autoSpaceDE w:val="0"/>
              <w:autoSpaceDN w:val="0"/>
              <w:adjustRightInd w:val="0"/>
              <w:rPr>
                <w:rFonts w:cs="Arial"/>
                <w:bCs/>
                <w:color w:val="000000"/>
                <w:sz w:val="20"/>
              </w:rPr>
            </w:pPr>
            <w:r>
              <w:rPr>
                <w:rFonts w:cs="Arial"/>
                <w:bCs/>
                <w:color w:val="000000"/>
                <w:sz w:val="20"/>
              </w:rPr>
              <w:t>No</w:t>
            </w:r>
          </w:p>
        </w:tc>
        <w:tc>
          <w:tcPr>
            <w:tcW w:w="784" w:type="pct"/>
          </w:tcPr>
          <w:p w:rsidR="006E7FC4" w:rsidRPr="006F33FC" w:rsidRDefault="006E7FC4" w:rsidP="00673E59">
            <w:pPr>
              <w:autoSpaceDE w:val="0"/>
              <w:autoSpaceDN w:val="0"/>
              <w:adjustRightInd w:val="0"/>
              <w:rPr>
                <w:rFonts w:cs="Arial"/>
                <w:bCs/>
                <w:color w:val="000000"/>
                <w:sz w:val="20"/>
              </w:rPr>
            </w:pPr>
          </w:p>
        </w:tc>
      </w:tr>
      <w:tr w:rsidR="006E7FC4" w:rsidRPr="006F33FC" w:rsidTr="001D4FA2">
        <w:trPr>
          <w:trHeight w:val="721"/>
        </w:trPr>
        <w:tc>
          <w:tcPr>
            <w:tcW w:w="453" w:type="pct"/>
          </w:tcPr>
          <w:p w:rsidR="006E7FC4" w:rsidRPr="00B9114C" w:rsidRDefault="006E7FC4" w:rsidP="00673E59">
            <w:pPr>
              <w:autoSpaceDE w:val="0"/>
              <w:autoSpaceDN w:val="0"/>
              <w:adjustRightInd w:val="0"/>
              <w:rPr>
                <w:rFonts w:cs="Arial"/>
                <w:bCs/>
                <w:color w:val="000000"/>
              </w:rPr>
            </w:pPr>
            <w:r w:rsidRPr="00B9114C">
              <w:rPr>
                <w:rFonts w:cs="Arial"/>
                <w:bCs/>
                <w:color w:val="000000"/>
              </w:rPr>
              <w:t>C-5</w:t>
            </w:r>
          </w:p>
        </w:tc>
        <w:tc>
          <w:tcPr>
            <w:tcW w:w="3137" w:type="pct"/>
          </w:tcPr>
          <w:p w:rsidR="006E7FC4" w:rsidRPr="00B9114C" w:rsidRDefault="006E7FC4" w:rsidP="00673E59">
            <w:pPr>
              <w:autoSpaceDE w:val="0"/>
              <w:autoSpaceDN w:val="0"/>
              <w:adjustRightInd w:val="0"/>
              <w:rPr>
                <w:rFonts w:cs="Arial"/>
                <w:bCs/>
                <w:color w:val="000000"/>
              </w:rPr>
            </w:pPr>
            <w:r w:rsidRPr="00B9114C">
              <w:rPr>
                <w:rFonts w:cs="Arial"/>
                <w:bCs/>
                <w:color w:val="000000"/>
              </w:rPr>
              <w:t>Direct economic loss resulting from damaged or destroyed critical infrastructure attributed to disasters</w:t>
            </w:r>
          </w:p>
        </w:tc>
        <w:tc>
          <w:tcPr>
            <w:tcW w:w="626" w:type="pct"/>
          </w:tcPr>
          <w:p w:rsidR="006E7FC4" w:rsidRPr="006F33FC" w:rsidRDefault="006E7FC4" w:rsidP="00673E59">
            <w:pPr>
              <w:autoSpaceDE w:val="0"/>
              <w:autoSpaceDN w:val="0"/>
              <w:adjustRightInd w:val="0"/>
              <w:rPr>
                <w:rFonts w:cs="Arial"/>
                <w:bCs/>
                <w:color w:val="000000"/>
                <w:sz w:val="20"/>
              </w:rPr>
            </w:pPr>
            <w:r>
              <w:rPr>
                <w:rFonts w:cs="Arial"/>
                <w:bCs/>
                <w:color w:val="000000"/>
                <w:sz w:val="20"/>
              </w:rPr>
              <w:t>Yes</w:t>
            </w:r>
          </w:p>
        </w:tc>
        <w:tc>
          <w:tcPr>
            <w:tcW w:w="784" w:type="pct"/>
          </w:tcPr>
          <w:p w:rsidR="006E7FC4" w:rsidRPr="006F33FC" w:rsidRDefault="00326802" w:rsidP="00673E59">
            <w:pPr>
              <w:autoSpaceDE w:val="0"/>
              <w:autoSpaceDN w:val="0"/>
              <w:adjustRightInd w:val="0"/>
              <w:rPr>
                <w:rFonts w:cs="Arial"/>
                <w:bCs/>
                <w:color w:val="000000"/>
                <w:sz w:val="20"/>
              </w:rPr>
            </w:pPr>
            <w:r>
              <w:rPr>
                <w:rFonts w:cs="Arial"/>
                <w:bCs/>
                <w:color w:val="000000"/>
                <w:sz w:val="20"/>
              </w:rPr>
              <w:t>Sendai Target D</w:t>
            </w:r>
          </w:p>
        </w:tc>
      </w:tr>
      <w:tr w:rsidR="006E7FC4" w:rsidRPr="006F33FC" w:rsidTr="001D4FA2">
        <w:trPr>
          <w:trHeight w:val="721"/>
        </w:trPr>
        <w:tc>
          <w:tcPr>
            <w:tcW w:w="453" w:type="pct"/>
          </w:tcPr>
          <w:p w:rsidR="006E7FC4" w:rsidRPr="00B9114C" w:rsidRDefault="006E7FC4" w:rsidP="00673E59">
            <w:pPr>
              <w:autoSpaceDE w:val="0"/>
              <w:autoSpaceDN w:val="0"/>
              <w:adjustRightInd w:val="0"/>
              <w:rPr>
                <w:rFonts w:cs="Arial"/>
                <w:bCs/>
                <w:color w:val="000000"/>
              </w:rPr>
            </w:pPr>
            <w:r w:rsidRPr="00B9114C">
              <w:rPr>
                <w:rFonts w:cs="Arial"/>
                <w:bCs/>
                <w:color w:val="000000"/>
              </w:rPr>
              <w:t>C-6</w:t>
            </w:r>
          </w:p>
        </w:tc>
        <w:tc>
          <w:tcPr>
            <w:tcW w:w="3137" w:type="pct"/>
          </w:tcPr>
          <w:p w:rsidR="006E7FC4" w:rsidRPr="00B9114C" w:rsidRDefault="006E7FC4" w:rsidP="00673E59">
            <w:pPr>
              <w:autoSpaceDE w:val="0"/>
              <w:autoSpaceDN w:val="0"/>
              <w:adjustRightInd w:val="0"/>
              <w:rPr>
                <w:rFonts w:cs="Arial"/>
                <w:bCs/>
                <w:color w:val="000000"/>
              </w:rPr>
            </w:pPr>
            <w:r w:rsidRPr="00B9114C">
              <w:rPr>
                <w:rFonts w:cs="Arial"/>
                <w:bCs/>
                <w:color w:val="000000"/>
              </w:rPr>
              <w:t>Direct economic loss to cultural heritage damaged or destroyed attributed to disasters</w:t>
            </w:r>
          </w:p>
        </w:tc>
        <w:tc>
          <w:tcPr>
            <w:tcW w:w="626" w:type="pct"/>
          </w:tcPr>
          <w:p w:rsidR="006E7FC4" w:rsidRPr="006F33FC" w:rsidRDefault="006E7FC4" w:rsidP="00673E59">
            <w:pPr>
              <w:autoSpaceDE w:val="0"/>
              <w:autoSpaceDN w:val="0"/>
              <w:adjustRightInd w:val="0"/>
              <w:rPr>
                <w:rFonts w:cs="Arial"/>
                <w:bCs/>
                <w:color w:val="000000"/>
                <w:sz w:val="20"/>
              </w:rPr>
            </w:pPr>
            <w:r>
              <w:rPr>
                <w:rFonts w:cs="Arial"/>
                <w:bCs/>
                <w:color w:val="000000"/>
                <w:sz w:val="20"/>
              </w:rPr>
              <w:t>No</w:t>
            </w:r>
          </w:p>
        </w:tc>
        <w:tc>
          <w:tcPr>
            <w:tcW w:w="784" w:type="pct"/>
          </w:tcPr>
          <w:p w:rsidR="006E7FC4" w:rsidRPr="006F33FC" w:rsidRDefault="006E7FC4" w:rsidP="00673E59">
            <w:pPr>
              <w:autoSpaceDE w:val="0"/>
              <w:autoSpaceDN w:val="0"/>
              <w:adjustRightInd w:val="0"/>
              <w:rPr>
                <w:rFonts w:cs="Arial"/>
                <w:bCs/>
                <w:color w:val="000000"/>
                <w:sz w:val="20"/>
              </w:rPr>
            </w:pPr>
          </w:p>
        </w:tc>
      </w:tr>
    </w:tbl>
    <w:p w:rsidR="001335E7" w:rsidRDefault="001335E7" w:rsidP="001335E7">
      <w:pPr>
        <w:pStyle w:val="ListParagraph"/>
        <w:spacing w:after="0" w:line="360" w:lineRule="auto"/>
        <w:ind w:left="426"/>
        <w:rPr>
          <w:b/>
        </w:rPr>
      </w:pPr>
    </w:p>
    <w:p w:rsidR="00375E2D" w:rsidRDefault="001335E7" w:rsidP="00E70D5D">
      <w:pPr>
        <w:pStyle w:val="ListParagraph"/>
        <w:numPr>
          <w:ilvl w:val="0"/>
          <w:numId w:val="1"/>
        </w:numPr>
        <w:spacing w:after="0" w:line="360" w:lineRule="auto"/>
        <w:ind w:left="426"/>
        <w:rPr>
          <w:b/>
        </w:rPr>
      </w:pPr>
      <w:r>
        <w:rPr>
          <w:b/>
        </w:rPr>
        <w:t>Policy context</w:t>
      </w:r>
    </w:p>
    <w:tbl>
      <w:tblPr>
        <w:tblStyle w:val="MediumGrid3-Accent1"/>
        <w:tblW w:w="5008" w:type="pct"/>
        <w:tblLook w:val="0680" w:firstRow="0" w:lastRow="0" w:firstColumn="1" w:lastColumn="0" w:noHBand="1" w:noVBand="1"/>
      </w:tblPr>
      <w:tblGrid>
        <w:gridCol w:w="2453"/>
        <w:gridCol w:w="6804"/>
      </w:tblGrid>
      <w:tr w:rsidR="008B171B" w:rsidRPr="00AE2C55" w:rsidTr="001335E7">
        <w:trPr>
          <w:trHeight w:val="886"/>
        </w:trPr>
        <w:tc>
          <w:tcPr>
            <w:cnfStyle w:val="001000000000" w:firstRow="0" w:lastRow="0" w:firstColumn="1" w:lastColumn="0" w:oddVBand="0" w:evenVBand="0" w:oddHBand="0" w:evenHBand="0" w:firstRowFirstColumn="0" w:firstRowLastColumn="0" w:lastRowFirstColumn="0" w:lastRowLastColumn="0"/>
            <w:tcW w:w="1325" w:type="pct"/>
            <w:vAlign w:val="center"/>
          </w:tcPr>
          <w:p w:rsidR="008B171B" w:rsidRPr="00AE2C55" w:rsidRDefault="008B171B" w:rsidP="00673E59">
            <w:pPr>
              <w:rPr>
                <w:sz w:val="20"/>
                <w:szCs w:val="20"/>
              </w:rPr>
            </w:pPr>
            <w:r w:rsidRPr="00AE2C55">
              <w:rPr>
                <w:sz w:val="20"/>
                <w:szCs w:val="20"/>
              </w:rPr>
              <w:t>Why</w:t>
            </w:r>
            <w:r w:rsidR="00C53DE2">
              <w:rPr>
                <w:sz w:val="20"/>
                <w:szCs w:val="20"/>
              </w:rPr>
              <w:t xml:space="preserve"> is this</w:t>
            </w:r>
            <w:r w:rsidRPr="00AE2C55">
              <w:rPr>
                <w:sz w:val="20"/>
                <w:szCs w:val="20"/>
              </w:rPr>
              <w:t xml:space="preserve"> important</w:t>
            </w:r>
            <w:r w:rsidR="00C53DE2">
              <w:rPr>
                <w:sz w:val="20"/>
                <w:szCs w:val="20"/>
              </w:rPr>
              <w:t>?</w:t>
            </w:r>
          </w:p>
        </w:tc>
        <w:tc>
          <w:tcPr>
            <w:tcW w:w="3675" w:type="pct"/>
            <w:vAlign w:val="center"/>
          </w:tcPr>
          <w:p w:rsidR="008B171B" w:rsidRPr="00444010" w:rsidRDefault="00C70B7E" w:rsidP="00B9114C">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444010">
              <w:t>Detailed assessments of economic loss are regularly carried out by governments and multilateral organisations following large-scale disasters, using methodologies derived from the ECLAC method</w:t>
            </w:r>
            <w:r w:rsidR="00EF1E88" w:rsidRPr="00444010">
              <w:t>s</w:t>
            </w:r>
            <w:r w:rsidRPr="00444010">
              <w:rPr>
                <w:rStyle w:val="EndnoteReference"/>
              </w:rPr>
              <w:endnoteReference w:id="1"/>
            </w:r>
            <w:r w:rsidR="00C53DE2" w:rsidRPr="00444010">
              <w:rPr>
                <w:rStyle w:val="FootnoteReference"/>
              </w:rPr>
              <w:footnoteReference w:id="1"/>
            </w:r>
            <w:r w:rsidRPr="00444010">
              <w:t>.    However, the econom</w:t>
            </w:r>
            <w:r w:rsidR="00B9114C" w:rsidRPr="00444010">
              <w:t xml:space="preserve">ic losses associated with small </w:t>
            </w:r>
            <w:r w:rsidRPr="00444010">
              <w:t xml:space="preserve">and medium </w:t>
            </w:r>
            <w:r w:rsidRPr="00444010">
              <w:lastRenderedPageBreak/>
              <w:t xml:space="preserve">scale events are rarely assessed or even documented.  </w:t>
            </w:r>
          </w:p>
          <w:p w:rsidR="00B9114C" w:rsidRPr="00444010" w:rsidRDefault="00B9114C" w:rsidP="00B9114C">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p w:rsidR="00B9114C" w:rsidRPr="00444010" w:rsidRDefault="00B9114C" w:rsidP="006222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color w:val="FFFFFF"/>
              </w:rPr>
            </w:pPr>
            <w:r w:rsidRPr="00444010">
              <w:t xml:space="preserve">For Ministries of Health it is important that health facilities and </w:t>
            </w:r>
            <w:r w:rsidR="006222DF">
              <w:t xml:space="preserve">other health infrastructure </w:t>
            </w:r>
            <w:r w:rsidRPr="00444010">
              <w:t xml:space="preserve">are included in the calculations of Target C, particularly in indicators C-3 and C-5.  </w:t>
            </w:r>
          </w:p>
        </w:tc>
      </w:tr>
      <w:tr w:rsidR="008B171B" w:rsidRPr="00AE2C55" w:rsidTr="001335E7">
        <w:trPr>
          <w:trHeight w:val="886"/>
        </w:trPr>
        <w:tc>
          <w:tcPr>
            <w:cnfStyle w:val="001000000000" w:firstRow="0" w:lastRow="0" w:firstColumn="1" w:lastColumn="0" w:oddVBand="0" w:evenVBand="0" w:oddHBand="0" w:evenHBand="0" w:firstRowFirstColumn="0" w:firstRowLastColumn="0" w:lastRowFirstColumn="0" w:lastRowLastColumn="0"/>
            <w:tcW w:w="1325" w:type="pct"/>
            <w:vAlign w:val="center"/>
          </w:tcPr>
          <w:p w:rsidR="008B171B" w:rsidRPr="00AE2C55" w:rsidRDefault="008B171B" w:rsidP="00673E59">
            <w:pPr>
              <w:rPr>
                <w:sz w:val="20"/>
                <w:szCs w:val="20"/>
              </w:rPr>
            </w:pPr>
            <w:r w:rsidRPr="00AE2C55">
              <w:rPr>
                <w:sz w:val="20"/>
                <w:szCs w:val="20"/>
              </w:rPr>
              <w:lastRenderedPageBreak/>
              <w:t>Baseline data and variation</w:t>
            </w:r>
          </w:p>
        </w:tc>
        <w:tc>
          <w:tcPr>
            <w:tcW w:w="3675" w:type="pct"/>
            <w:vAlign w:val="center"/>
          </w:tcPr>
          <w:p w:rsidR="00872D1D" w:rsidRPr="00444010" w:rsidRDefault="00872D1D" w:rsidP="00157AB2">
            <w:pPr>
              <w:pStyle w:val="ListParagraph"/>
              <w:numPr>
                <w:ilvl w:val="0"/>
                <w:numId w:val="22"/>
              </w:numPr>
              <w:autoSpaceDE w:val="0"/>
              <w:autoSpaceDN w:val="0"/>
              <w:adjustRightInd w:val="0"/>
              <w:ind w:left="241" w:hanging="241"/>
              <w:cnfStyle w:val="000000000000" w:firstRow="0" w:lastRow="0" w:firstColumn="0" w:lastColumn="0" w:oddVBand="0" w:evenVBand="0" w:oddHBand="0" w:evenHBand="0" w:firstRowFirstColumn="0" w:firstRowLastColumn="0" w:lastRowFirstColumn="0" w:lastRowLastColumn="0"/>
              <w:rPr>
                <w:rFonts w:cs="Arial"/>
                <w:bCs/>
              </w:rPr>
            </w:pPr>
            <w:r w:rsidRPr="00444010">
              <w:rPr>
                <w:rFonts w:cs="Arial"/>
                <w:bCs/>
              </w:rPr>
              <w:t>In 1998-2017 disaster-hit countries also reported direct economic losses valued at US$ 2,908 billion1, of which climate-related disasters caused US$ 2,245 billion or 77% of the total and uneven reporting patterns are reported with high income countries reporting damages for 61%, but only 13% in low income countries.</w:t>
            </w:r>
            <w:r w:rsidRPr="00444010">
              <w:rPr>
                <w:rStyle w:val="FootnoteReference"/>
                <w:rFonts w:cs="Arial"/>
                <w:bCs/>
              </w:rPr>
              <w:footnoteReference w:id="2"/>
            </w:r>
          </w:p>
          <w:p w:rsidR="008B171B" w:rsidRPr="00444010" w:rsidRDefault="005F50D3" w:rsidP="00157AB2">
            <w:pPr>
              <w:pStyle w:val="ListParagraph"/>
              <w:numPr>
                <w:ilvl w:val="0"/>
                <w:numId w:val="22"/>
              </w:numPr>
              <w:autoSpaceDE w:val="0"/>
              <w:autoSpaceDN w:val="0"/>
              <w:adjustRightInd w:val="0"/>
              <w:ind w:left="241" w:hanging="241"/>
              <w:cnfStyle w:val="000000000000" w:firstRow="0" w:lastRow="0" w:firstColumn="0" w:lastColumn="0" w:oddVBand="0" w:evenVBand="0" w:oddHBand="0" w:evenHBand="0" w:firstRowFirstColumn="0" w:firstRowLastColumn="0" w:lastRowFirstColumn="0" w:lastRowLastColumn="0"/>
              <w:rPr>
                <w:rFonts w:cs="Arial"/>
                <w:bCs/>
              </w:rPr>
            </w:pPr>
            <w:r w:rsidRPr="00444010">
              <w:rPr>
                <w:rFonts w:cs="Arial"/>
                <w:bCs/>
              </w:rPr>
              <w:t xml:space="preserve">Based on </w:t>
            </w:r>
            <w:r w:rsidR="007E263B">
              <w:rPr>
                <w:rFonts w:cs="Arial"/>
                <w:bCs/>
              </w:rPr>
              <w:t xml:space="preserve">the UNISDR </w:t>
            </w:r>
            <w:r w:rsidRPr="00444010">
              <w:rPr>
                <w:rFonts w:cs="Arial"/>
                <w:bCs/>
              </w:rPr>
              <w:t xml:space="preserve">2017 Data Readiness Review, data for </w:t>
            </w:r>
            <w:r w:rsidR="00215166" w:rsidRPr="00444010">
              <w:rPr>
                <w:rFonts w:cs="Arial"/>
                <w:bCs/>
              </w:rPr>
              <w:t xml:space="preserve">‘direct economic loss due to all other damaged or destroyed productive assets attributed to disasters’ </w:t>
            </w:r>
            <w:r w:rsidRPr="00444010">
              <w:rPr>
                <w:rFonts w:cs="Arial"/>
                <w:bCs/>
              </w:rPr>
              <w:t xml:space="preserve">are currently available in 36 countries (representing 41% of reporting countries, while data for </w:t>
            </w:r>
            <w:r w:rsidR="00215166" w:rsidRPr="00444010">
              <w:rPr>
                <w:rFonts w:cs="Arial"/>
                <w:bCs/>
              </w:rPr>
              <w:t xml:space="preserve">‘direct economic loss resulting from damaged or destroyed critical infrastructure’ </w:t>
            </w:r>
            <w:r w:rsidRPr="00444010">
              <w:rPr>
                <w:rFonts w:cs="Arial"/>
                <w:bCs/>
              </w:rPr>
              <w:t>are currently available in 48 countries (representing 55% of reporting countries).</w:t>
            </w:r>
            <w:r w:rsidRPr="00444010">
              <w:rPr>
                <w:rStyle w:val="FootnoteReference"/>
                <w:rFonts w:cs="Arial"/>
                <w:bCs/>
              </w:rPr>
              <w:footnoteReference w:id="3"/>
            </w:r>
          </w:p>
          <w:p w:rsidR="005F50D3" w:rsidRPr="00444010" w:rsidRDefault="005F50D3" w:rsidP="005F50D3">
            <w:pPr>
              <w:pStyle w:val="ListParagraph"/>
              <w:numPr>
                <w:ilvl w:val="0"/>
                <w:numId w:val="22"/>
              </w:numPr>
              <w:autoSpaceDE w:val="0"/>
              <w:autoSpaceDN w:val="0"/>
              <w:adjustRightInd w:val="0"/>
              <w:ind w:left="241" w:hanging="219"/>
              <w:cnfStyle w:val="000000000000" w:firstRow="0" w:lastRow="0" w:firstColumn="0" w:lastColumn="0" w:oddVBand="0" w:evenVBand="0" w:oddHBand="0" w:evenHBand="0" w:firstRowFirstColumn="0" w:firstRowLastColumn="0" w:lastRowFirstColumn="0" w:lastRowLastColumn="0"/>
              <w:rPr>
                <w:rFonts w:cs="Arial"/>
                <w:bCs/>
                <w:color w:val="FFFFFF"/>
              </w:rPr>
            </w:pPr>
          </w:p>
        </w:tc>
      </w:tr>
      <w:tr w:rsidR="008B171B" w:rsidRPr="00AE2C55" w:rsidTr="001335E7">
        <w:trPr>
          <w:trHeight w:val="886"/>
        </w:trPr>
        <w:tc>
          <w:tcPr>
            <w:cnfStyle w:val="001000000000" w:firstRow="0" w:lastRow="0" w:firstColumn="1" w:lastColumn="0" w:oddVBand="0" w:evenVBand="0" w:oddHBand="0" w:evenHBand="0" w:firstRowFirstColumn="0" w:firstRowLastColumn="0" w:lastRowFirstColumn="0" w:lastRowLastColumn="0"/>
            <w:tcW w:w="1325" w:type="pct"/>
            <w:vAlign w:val="center"/>
          </w:tcPr>
          <w:p w:rsidR="008B171B" w:rsidRPr="00AE2C55" w:rsidRDefault="008B171B" w:rsidP="00673E59">
            <w:pPr>
              <w:rPr>
                <w:sz w:val="20"/>
                <w:szCs w:val="20"/>
              </w:rPr>
            </w:pPr>
            <w:r w:rsidRPr="00AE2C55">
              <w:rPr>
                <w:sz w:val="20"/>
                <w:szCs w:val="20"/>
              </w:rPr>
              <w:t>Issues/ challenges</w:t>
            </w:r>
          </w:p>
          <w:p w:rsidR="008B171B" w:rsidRPr="00AE2C55" w:rsidRDefault="008B171B" w:rsidP="001335E7">
            <w:pPr>
              <w:pStyle w:val="ListParagraph"/>
              <w:numPr>
                <w:ilvl w:val="0"/>
                <w:numId w:val="15"/>
              </w:numPr>
              <w:ind w:left="426"/>
              <w:rPr>
                <w:sz w:val="20"/>
                <w:szCs w:val="20"/>
              </w:rPr>
            </w:pPr>
            <w:r w:rsidRPr="00AE2C55">
              <w:rPr>
                <w:sz w:val="20"/>
                <w:szCs w:val="20"/>
              </w:rPr>
              <w:t xml:space="preserve">Role of health </w:t>
            </w:r>
          </w:p>
          <w:p w:rsidR="008B171B" w:rsidRPr="00AE2C55" w:rsidRDefault="008B171B" w:rsidP="001335E7">
            <w:pPr>
              <w:pStyle w:val="ListParagraph"/>
              <w:numPr>
                <w:ilvl w:val="0"/>
                <w:numId w:val="15"/>
              </w:numPr>
              <w:ind w:left="426"/>
              <w:rPr>
                <w:sz w:val="20"/>
                <w:szCs w:val="20"/>
              </w:rPr>
            </w:pPr>
            <w:r w:rsidRPr="00AE2C55">
              <w:rPr>
                <w:sz w:val="20"/>
                <w:szCs w:val="20"/>
              </w:rPr>
              <w:t xml:space="preserve">Policy </w:t>
            </w:r>
          </w:p>
          <w:p w:rsidR="008B171B" w:rsidRPr="00AE2C55" w:rsidRDefault="008B171B" w:rsidP="001335E7">
            <w:pPr>
              <w:pStyle w:val="ListParagraph"/>
              <w:numPr>
                <w:ilvl w:val="0"/>
                <w:numId w:val="15"/>
              </w:numPr>
              <w:ind w:left="426"/>
              <w:rPr>
                <w:sz w:val="20"/>
                <w:szCs w:val="20"/>
              </w:rPr>
            </w:pPr>
            <w:r w:rsidRPr="00AE2C55">
              <w:rPr>
                <w:sz w:val="20"/>
                <w:szCs w:val="20"/>
              </w:rPr>
              <w:t>Governance</w:t>
            </w:r>
          </w:p>
          <w:p w:rsidR="008B171B" w:rsidRPr="00AE2C55" w:rsidRDefault="008B171B" w:rsidP="001335E7">
            <w:pPr>
              <w:pStyle w:val="ListParagraph"/>
              <w:numPr>
                <w:ilvl w:val="0"/>
                <w:numId w:val="15"/>
              </w:numPr>
              <w:ind w:left="426"/>
              <w:rPr>
                <w:sz w:val="20"/>
                <w:szCs w:val="20"/>
              </w:rPr>
            </w:pPr>
            <w:r w:rsidRPr="00AE2C55">
              <w:rPr>
                <w:sz w:val="20"/>
                <w:szCs w:val="20"/>
              </w:rPr>
              <w:t xml:space="preserve">Adoption and implementation </w:t>
            </w:r>
          </w:p>
          <w:p w:rsidR="008B171B" w:rsidRPr="00AE2C55" w:rsidRDefault="008B171B" w:rsidP="001335E7">
            <w:pPr>
              <w:pStyle w:val="ListParagraph"/>
              <w:numPr>
                <w:ilvl w:val="0"/>
                <w:numId w:val="15"/>
              </w:numPr>
              <w:ind w:left="426"/>
              <w:rPr>
                <w:sz w:val="20"/>
                <w:szCs w:val="20"/>
              </w:rPr>
            </w:pPr>
            <w:r w:rsidRPr="00AE2C55">
              <w:rPr>
                <w:sz w:val="20"/>
                <w:szCs w:val="20"/>
              </w:rPr>
              <w:t>Temporal aspect – data collection</w:t>
            </w:r>
          </w:p>
          <w:p w:rsidR="001335E7" w:rsidRPr="00AE2C55" w:rsidRDefault="001335E7" w:rsidP="001335E7">
            <w:pPr>
              <w:pStyle w:val="ListParagraph"/>
              <w:rPr>
                <w:sz w:val="20"/>
                <w:szCs w:val="20"/>
              </w:rPr>
            </w:pPr>
          </w:p>
        </w:tc>
        <w:tc>
          <w:tcPr>
            <w:tcW w:w="3675" w:type="pct"/>
            <w:vAlign w:val="center"/>
          </w:tcPr>
          <w:p w:rsidR="008B171B" w:rsidRPr="00444010" w:rsidRDefault="00C70B7E"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sidRPr="00444010">
              <w:rPr>
                <w:rFonts w:cs="Arial"/>
                <w:bCs/>
              </w:rPr>
              <w:t>Temporal</w:t>
            </w:r>
            <w:r w:rsidR="00B9114C" w:rsidRPr="00444010">
              <w:rPr>
                <w:rFonts w:cs="Arial"/>
                <w:bCs/>
              </w:rPr>
              <w:t xml:space="preserve"> – see overview</w:t>
            </w:r>
          </w:p>
          <w:p w:rsidR="00D44F8E" w:rsidRPr="00444010" w:rsidRDefault="00D44F8E"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p>
          <w:p w:rsidR="00D44F8E" w:rsidRDefault="00D44F8E"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sidRPr="00444010">
              <w:rPr>
                <w:rFonts w:cs="Arial"/>
                <w:bCs/>
              </w:rPr>
              <w:t>Facility size – there are different methods for the calculation of health facilities.  These are shown in the examples at the end of this guidance.</w:t>
            </w:r>
          </w:p>
          <w:p w:rsidR="006222DF" w:rsidRPr="00CA289F" w:rsidRDefault="006222DF"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p>
          <w:p w:rsidR="006222DF" w:rsidRPr="00CA289F" w:rsidRDefault="00413E4C" w:rsidP="00413E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sidRPr="00CA289F">
              <w:rPr>
                <w:rFonts w:cs="Arial"/>
                <w:bCs/>
              </w:rPr>
              <w:t xml:space="preserve">Determination of which </w:t>
            </w:r>
            <w:r w:rsidR="006222DF" w:rsidRPr="00CA289F">
              <w:rPr>
                <w:rFonts w:cs="Arial"/>
                <w:bCs/>
              </w:rPr>
              <w:t xml:space="preserve"> health services </w:t>
            </w:r>
            <w:r w:rsidRPr="00CA289F">
              <w:rPr>
                <w:rFonts w:cs="Arial"/>
                <w:bCs/>
              </w:rPr>
              <w:t>s</w:t>
            </w:r>
            <w:r w:rsidR="006222DF" w:rsidRPr="00CA289F">
              <w:rPr>
                <w:rFonts w:cs="Arial"/>
                <w:bCs/>
              </w:rPr>
              <w:t>hould be considered as  productive asset</w:t>
            </w:r>
            <w:r w:rsidRPr="00CA289F">
              <w:rPr>
                <w:rFonts w:cs="Arial"/>
                <w:bCs/>
              </w:rPr>
              <w:t>s in C-3</w:t>
            </w:r>
          </w:p>
          <w:p w:rsidR="007E263B" w:rsidRPr="00CA289F" w:rsidRDefault="007E263B"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p>
          <w:p w:rsidR="007E263B" w:rsidRPr="00FF2BBC" w:rsidRDefault="007E263B" w:rsidP="007E263B">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FF2BBC">
              <w:rPr>
                <w:b/>
              </w:rPr>
              <w:t>- Types of Hazard:</w:t>
            </w:r>
            <w:r w:rsidRPr="00FF2BBC">
              <w:t>. Hazards within the scope of the Sendai Framework should be covered in this target for Sendai Framework reporting. Customizable indicators should consider all types of hazards. For full details of hazards, see overview.</w:t>
            </w:r>
          </w:p>
          <w:p w:rsidR="007E263B" w:rsidRPr="00FF2BBC" w:rsidRDefault="007E263B" w:rsidP="007E263B">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p w:rsidR="007E263B" w:rsidRPr="00FF2BBC" w:rsidRDefault="007E263B" w:rsidP="007E263B">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sidRPr="00FF2BBC">
              <w:rPr>
                <w:b/>
              </w:rPr>
              <w:t xml:space="preserve">- Scale of hazardous events. </w:t>
            </w:r>
            <w:r w:rsidRPr="00FF2BBC">
              <w:rPr>
                <w:bCs/>
              </w:rPr>
              <w:t>All deaths associated with different scales of hazardous events, including emergencies and disasters,</w:t>
            </w:r>
            <w:r w:rsidR="00CA289F">
              <w:rPr>
                <w:bCs/>
              </w:rPr>
              <w:t xml:space="preserve"> </w:t>
            </w:r>
            <w:r w:rsidRPr="00FF2BBC">
              <w:rPr>
                <w:bCs/>
              </w:rPr>
              <w:t>should be covered</w:t>
            </w:r>
          </w:p>
          <w:p w:rsidR="00D44F8E" w:rsidRPr="00CA289F" w:rsidRDefault="00D44F8E"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p>
          <w:p w:rsidR="00C70B7E" w:rsidRPr="00CA289F" w:rsidRDefault="00B9114C"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sidRPr="00CA289F">
              <w:rPr>
                <w:rFonts w:cs="Arial"/>
                <w:bCs/>
              </w:rPr>
              <w:t>Disaggregation</w:t>
            </w:r>
            <w:r w:rsidR="00490D1E" w:rsidRPr="00CA289F">
              <w:rPr>
                <w:rFonts w:cs="Arial"/>
                <w:bCs/>
              </w:rPr>
              <w:t xml:space="preserve"> – see overview</w:t>
            </w:r>
          </w:p>
          <w:p w:rsidR="00C70B7E" w:rsidRPr="00444010" w:rsidRDefault="00C70B7E"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p>
        </w:tc>
      </w:tr>
    </w:tbl>
    <w:p w:rsidR="001335E7" w:rsidRDefault="001335E7" w:rsidP="001335E7">
      <w:pPr>
        <w:pStyle w:val="ListParagraph"/>
        <w:spacing w:after="0" w:line="360" w:lineRule="auto"/>
        <w:ind w:left="426"/>
        <w:rPr>
          <w:b/>
        </w:rPr>
      </w:pPr>
    </w:p>
    <w:p w:rsidR="001335E7" w:rsidRDefault="001335E7" w:rsidP="00E70D5D">
      <w:pPr>
        <w:pStyle w:val="ListParagraph"/>
        <w:numPr>
          <w:ilvl w:val="0"/>
          <w:numId w:val="1"/>
        </w:numPr>
        <w:spacing w:after="0" w:line="360" w:lineRule="auto"/>
        <w:ind w:left="426"/>
        <w:rPr>
          <w:b/>
        </w:rPr>
      </w:pPr>
      <w:r>
        <w:rPr>
          <w:b/>
        </w:rPr>
        <w:t>Method</w:t>
      </w:r>
      <w:r w:rsidR="00C53DE2">
        <w:rPr>
          <w:b/>
        </w:rPr>
        <w:t>s</w:t>
      </w:r>
    </w:p>
    <w:tbl>
      <w:tblPr>
        <w:tblStyle w:val="MediumGrid3-Accent1"/>
        <w:tblW w:w="5008" w:type="pct"/>
        <w:tblLook w:val="0680" w:firstRow="0" w:lastRow="0" w:firstColumn="1" w:lastColumn="0" w:noHBand="1" w:noVBand="1"/>
      </w:tblPr>
      <w:tblGrid>
        <w:gridCol w:w="2379"/>
        <w:gridCol w:w="6878"/>
      </w:tblGrid>
      <w:tr w:rsidR="001335E7" w:rsidRPr="00AE2C55"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AE2C55" w:rsidRDefault="001335E7" w:rsidP="008054A1">
            <w:pPr>
              <w:autoSpaceDE w:val="0"/>
              <w:autoSpaceDN w:val="0"/>
              <w:adjustRightInd w:val="0"/>
              <w:rPr>
                <w:rFonts w:cs="Arial"/>
                <w:bCs w:val="0"/>
                <w:sz w:val="20"/>
                <w:szCs w:val="20"/>
              </w:rPr>
            </w:pPr>
            <w:r w:rsidRPr="00AE2C55">
              <w:rPr>
                <w:rFonts w:cs="Arial"/>
                <w:bCs w:val="0"/>
                <w:sz w:val="20"/>
                <w:szCs w:val="20"/>
              </w:rPr>
              <w:t xml:space="preserve">What </w:t>
            </w:r>
            <w:r w:rsidR="008054A1">
              <w:rPr>
                <w:rFonts w:cs="Arial"/>
                <w:bCs w:val="0"/>
                <w:sz w:val="20"/>
                <w:szCs w:val="20"/>
              </w:rPr>
              <w:t xml:space="preserve">is </w:t>
            </w:r>
            <w:r w:rsidRPr="00AE2C55">
              <w:rPr>
                <w:rFonts w:cs="Arial"/>
                <w:bCs w:val="0"/>
                <w:sz w:val="20"/>
                <w:szCs w:val="20"/>
              </w:rPr>
              <w:t xml:space="preserve"> measure</w:t>
            </w:r>
            <w:r w:rsidR="008054A1">
              <w:rPr>
                <w:rFonts w:cs="Arial"/>
                <w:bCs w:val="0"/>
                <w:sz w:val="20"/>
                <w:szCs w:val="20"/>
              </w:rPr>
              <w:t>d</w:t>
            </w:r>
          </w:p>
        </w:tc>
        <w:tc>
          <w:tcPr>
            <w:tcW w:w="3715" w:type="pct"/>
            <w:vAlign w:val="center"/>
          </w:tcPr>
          <w:p w:rsidR="001335E7" w:rsidRPr="00FF2BBC" w:rsidRDefault="006222DF" w:rsidP="007E263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FF2BBC">
              <w:rPr>
                <w:rFonts w:cs="Arial"/>
                <w:bCs/>
                <w:sz w:val="20"/>
                <w:szCs w:val="20"/>
              </w:rPr>
              <w:t xml:space="preserve">Sendai Framework: </w:t>
            </w:r>
            <w:r w:rsidR="000539E3" w:rsidRPr="00FF2BBC">
              <w:rPr>
                <w:rFonts w:cs="Arial"/>
                <w:bCs/>
                <w:sz w:val="20"/>
                <w:szCs w:val="20"/>
              </w:rPr>
              <w:t xml:space="preserve">What is the pattern over time in direct disaster economic loss in relation to </w:t>
            </w:r>
            <w:r w:rsidR="007E263B" w:rsidRPr="00FF2BBC">
              <w:rPr>
                <w:rFonts w:cs="Arial"/>
                <w:bCs/>
                <w:sz w:val="20"/>
                <w:szCs w:val="20"/>
              </w:rPr>
              <w:t xml:space="preserve">national </w:t>
            </w:r>
            <w:r w:rsidR="000539E3" w:rsidRPr="00FF2BBC">
              <w:rPr>
                <w:rFonts w:cs="Arial"/>
                <w:bCs/>
                <w:sz w:val="20"/>
                <w:szCs w:val="20"/>
              </w:rPr>
              <w:t>GDP</w:t>
            </w:r>
            <w:r w:rsidRPr="00FF2BBC">
              <w:rPr>
                <w:rFonts w:cs="Arial"/>
                <w:bCs/>
                <w:sz w:val="20"/>
                <w:szCs w:val="20"/>
              </w:rPr>
              <w:t xml:space="preserve"> for hazards within the scope of the Sendai Framework</w:t>
            </w:r>
          </w:p>
          <w:p w:rsidR="006222DF" w:rsidRPr="00FF2BBC" w:rsidRDefault="006222DF" w:rsidP="006222D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color w:val="FFFFFF"/>
                <w:sz w:val="20"/>
                <w:szCs w:val="20"/>
              </w:rPr>
            </w:pPr>
            <w:r w:rsidRPr="00FF2BBC">
              <w:rPr>
                <w:rFonts w:cs="Arial"/>
                <w:bCs/>
                <w:sz w:val="20"/>
                <w:szCs w:val="20"/>
              </w:rPr>
              <w:t>Customisable: What is the pattern over time in direct disaster economic loss in relation to national GDP for all types of hazards</w:t>
            </w:r>
          </w:p>
        </w:tc>
      </w:tr>
      <w:tr w:rsidR="001335E7" w:rsidRPr="00AE2C55"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AE2C55" w:rsidRDefault="001335E7" w:rsidP="00673E59">
            <w:pPr>
              <w:autoSpaceDE w:val="0"/>
              <w:autoSpaceDN w:val="0"/>
              <w:adjustRightInd w:val="0"/>
              <w:rPr>
                <w:rFonts w:cs="Arial"/>
                <w:sz w:val="20"/>
                <w:szCs w:val="20"/>
              </w:rPr>
            </w:pPr>
            <w:r w:rsidRPr="00AE2C55">
              <w:rPr>
                <w:rFonts w:cs="Arial"/>
                <w:sz w:val="20"/>
                <w:szCs w:val="20"/>
              </w:rPr>
              <w:t>Key terms</w:t>
            </w:r>
          </w:p>
        </w:tc>
        <w:tc>
          <w:tcPr>
            <w:tcW w:w="3715" w:type="pct"/>
            <w:vAlign w:val="center"/>
          </w:tcPr>
          <w:p w:rsidR="001335E7" w:rsidRPr="00FF2BBC" w:rsidRDefault="000539E3" w:rsidP="000539E3">
            <w:pPr>
              <w:pStyle w:val="ListParagraph"/>
              <w:numPr>
                <w:ilvl w:val="0"/>
                <w:numId w:val="18"/>
              </w:numPr>
              <w:autoSpaceDE w:val="0"/>
              <w:autoSpaceDN w:val="0"/>
              <w:adjustRightInd w:val="0"/>
              <w:ind w:left="315" w:hanging="284"/>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b/>
                <w:sz w:val="20"/>
                <w:szCs w:val="20"/>
              </w:rPr>
              <w:t>Economic loss</w:t>
            </w:r>
            <w:r w:rsidRPr="00FF2BBC">
              <w:rPr>
                <w:rFonts w:cs="Arial"/>
                <w:sz w:val="20"/>
                <w:szCs w:val="20"/>
              </w:rPr>
              <w:t xml:space="preserve"> - Total economic impact that consists of direct economic loss and indirect economic loss</w:t>
            </w:r>
          </w:p>
          <w:p w:rsidR="000539E3" w:rsidRPr="00FF2BBC" w:rsidRDefault="000539E3" w:rsidP="000539E3">
            <w:pPr>
              <w:pStyle w:val="ListParagraph"/>
              <w:numPr>
                <w:ilvl w:val="0"/>
                <w:numId w:val="18"/>
              </w:numPr>
              <w:autoSpaceDE w:val="0"/>
              <w:autoSpaceDN w:val="0"/>
              <w:adjustRightInd w:val="0"/>
              <w:ind w:left="315" w:hanging="284"/>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b/>
                <w:sz w:val="20"/>
                <w:szCs w:val="20"/>
              </w:rPr>
              <w:t>Direct economic loss</w:t>
            </w:r>
            <w:r w:rsidRPr="00FF2BBC">
              <w:rPr>
                <w:rFonts w:cs="Arial"/>
                <w:sz w:val="20"/>
                <w:szCs w:val="20"/>
              </w:rPr>
              <w:t xml:space="preserve"> - Monetary value of total/partial destruction of physical assets existing in the affected area</w:t>
            </w:r>
          </w:p>
          <w:p w:rsidR="000539E3" w:rsidRPr="00FF2BBC" w:rsidRDefault="000539E3" w:rsidP="000539E3">
            <w:pPr>
              <w:pStyle w:val="ListParagraph"/>
              <w:numPr>
                <w:ilvl w:val="0"/>
                <w:numId w:val="18"/>
              </w:numPr>
              <w:autoSpaceDE w:val="0"/>
              <w:autoSpaceDN w:val="0"/>
              <w:adjustRightInd w:val="0"/>
              <w:ind w:left="315" w:hanging="284"/>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b/>
                <w:sz w:val="20"/>
                <w:szCs w:val="20"/>
              </w:rPr>
              <w:t>Indirect economic loss</w:t>
            </w:r>
            <w:r w:rsidRPr="00FF2BBC">
              <w:rPr>
                <w:rFonts w:cs="Arial"/>
                <w:sz w:val="20"/>
                <w:szCs w:val="20"/>
              </w:rPr>
              <w:t xml:space="preserve"> - Decline in economic value added as a </w:t>
            </w:r>
            <w:r w:rsidRPr="00FF2BBC">
              <w:rPr>
                <w:rFonts w:cs="Arial"/>
                <w:sz w:val="20"/>
                <w:szCs w:val="20"/>
              </w:rPr>
              <w:lastRenderedPageBreak/>
              <w:t>consequence of direct economic loss and/or human and environmental impacts</w:t>
            </w:r>
          </w:p>
          <w:p w:rsidR="00430271" w:rsidRPr="00FF2BBC" w:rsidRDefault="00430271" w:rsidP="000539E3">
            <w:pPr>
              <w:pStyle w:val="ListParagraph"/>
              <w:numPr>
                <w:ilvl w:val="0"/>
                <w:numId w:val="18"/>
              </w:numPr>
              <w:autoSpaceDE w:val="0"/>
              <w:autoSpaceDN w:val="0"/>
              <w:adjustRightInd w:val="0"/>
              <w:ind w:left="315" w:hanging="284"/>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b/>
                <w:sz w:val="20"/>
                <w:szCs w:val="20"/>
              </w:rPr>
              <w:t>Replacement cost</w:t>
            </w:r>
            <w:r w:rsidRPr="00FF2BBC">
              <w:rPr>
                <w:rFonts w:cs="Arial"/>
                <w:sz w:val="20"/>
                <w:szCs w:val="20"/>
              </w:rPr>
              <w:t xml:space="preserve"> – the cost of replacing damaged assets with materials of like kind and quality</w:t>
            </w:r>
          </w:p>
        </w:tc>
      </w:tr>
      <w:tr w:rsidR="001335E7" w:rsidRPr="00AE2C55"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AE2C55" w:rsidRDefault="001335E7" w:rsidP="00673E59">
            <w:pPr>
              <w:autoSpaceDE w:val="0"/>
              <w:autoSpaceDN w:val="0"/>
              <w:adjustRightInd w:val="0"/>
              <w:rPr>
                <w:rFonts w:cs="Arial"/>
                <w:bCs w:val="0"/>
                <w:sz w:val="20"/>
                <w:szCs w:val="20"/>
              </w:rPr>
            </w:pPr>
            <w:r w:rsidRPr="00AE2C55">
              <w:rPr>
                <w:rFonts w:cs="Arial"/>
                <w:bCs w:val="0"/>
                <w:sz w:val="20"/>
                <w:szCs w:val="20"/>
              </w:rPr>
              <w:lastRenderedPageBreak/>
              <w:t xml:space="preserve">Health input </w:t>
            </w:r>
          </w:p>
        </w:tc>
        <w:tc>
          <w:tcPr>
            <w:tcW w:w="3715" w:type="pct"/>
            <w:vAlign w:val="center"/>
          </w:tcPr>
          <w:p w:rsidR="001335E7" w:rsidRPr="00FF2BBC" w:rsidRDefault="00430271" w:rsidP="00673E5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 xml:space="preserve">Target C reports on the economic loss due to damage </w:t>
            </w:r>
            <w:r w:rsidR="003A3110" w:rsidRPr="00FF2BBC">
              <w:rPr>
                <w:rFonts w:cs="Arial"/>
                <w:sz w:val="20"/>
                <w:szCs w:val="20"/>
              </w:rPr>
              <w:t>to key services during events.  Health facilities and services have a core impact on these calculations.  Data from Ministry of Health is required to complete indicators C-3 and C-5, which in turn support the calculation of C-1.</w:t>
            </w:r>
          </w:p>
          <w:p w:rsidR="003A3110" w:rsidRPr="00FF2BBC" w:rsidRDefault="003A3110" w:rsidP="00673E59">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3A3110" w:rsidRPr="00FF2BBC" w:rsidRDefault="003A3110" w:rsidP="00673E5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Data on health services and facilities that are damaged or destroyed is required and these should be detailed by size and coverage.  These also a need to determine the impact on communities on the reduction of service delivered following an event caused by damaged/destroyed health services.</w:t>
            </w:r>
          </w:p>
        </w:tc>
      </w:tr>
      <w:tr w:rsidR="001335E7" w:rsidRPr="00AE2C55" w:rsidTr="00AE2C55">
        <w:trPr>
          <w:trHeight w:val="1545"/>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AE2C55" w:rsidRDefault="001335E7" w:rsidP="00673E59">
            <w:pPr>
              <w:autoSpaceDE w:val="0"/>
              <w:autoSpaceDN w:val="0"/>
              <w:adjustRightInd w:val="0"/>
              <w:rPr>
                <w:rFonts w:cs="Arial"/>
                <w:bCs w:val="0"/>
                <w:sz w:val="20"/>
                <w:szCs w:val="20"/>
              </w:rPr>
            </w:pPr>
            <w:r w:rsidRPr="00AE2C55">
              <w:rPr>
                <w:rFonts w:cs="Arial"/>
                <w:bCs w:val="0"/>
                <w:sz w:val="20"/>
                <w:szCs w:val="20"/>
              </w:rPr>
              <w:t xml:space="preserve">Who to engage with </w:t>
            </w:r>
          </w:p>
        </w:tc>
        <w:tc>
          <w:tcPr>
            <w:tcW w:w="3715" w:type="pct"/>
            <w:vAlign w:val="center"/>
          </w:tcPr>
          <w:p w:rsidR="005864A6" w:rsidRPr="00FF2BBC" w:rsidRDefault="005864A6" w:rsidP="005864A6">
            <w:pPr>
              <w:numPr>
                <w:ilvl w:val="0"/>
                <w:numId w:val="19"/>
              </w:numPr>
              <w:ind w:left="315" w:hanging="284"/>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Ministry of health</w:t>
            </w:r>
          </w:p>
          <w:p w:rsidR="005864A6" w:rsidRPr="00FF2BBC" w:rsidRDefault="005864A6" w:rsidP="005864A6">
            <w:pPr>
              <w:numPr>
                <w:ilvl w:val="1"/>
                <w:numId w:val="19"/>
              </w:numPr>
              <w:ind w:left="882" w:hanging="284"/>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Health statistics office/Health information management systems</w:t>
            </w:r>
          </w:p>
          <w:p w:rsidR="005864A6" w:rsidRPr="00FF2BBC" w:rsidRDefault="005864A6" w:rsidP="005864A6">
            <w:pPr>
              <w:numPr>
                <w:ilvl w:val="1"/>
                <w:numId w:val="19"/>
              </w:numPr>
              <w:ind w:left="882" w:hanging="284"/>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National disease surveillance system</w:t>
            </w:r>
          </w:p>
          <w:p w:rsidR="005864A6" w:rsidRPr="00FF2BBC" w:rsidRDefault="005864A6" w:rsidP="005864A6">
            <w:pPr>
              <w:numPr>
                <w:ilvl w:val="0"/>
                <w:numId w:val="19"/>
              </w:numPr>
              <w:ind w:left="315" w:hanging="284"/>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National disaster management offices</w:t>
            </w:r>
          </w:p>
          <w:p w:rsidR="005864A6" w:rsidRPr="00FF2BBC" w:rsidRDefault="005864A6" w:rsidP="005864A6">
            <w:pPr>
              <w:numPr>
                <w:ilvl w:val="0"/>
                <w:numId w:val="19"/>
              </w:numPr>
              <w:ind w:left="315" w:hanging="284"/>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National focal point for Sendai Framework reporting</w:t>
            </w:r>
          </w:p>
          <w:p w:rsidR="005864A6" w:rsidRPr="00FF2BBC" w:rsidRDefault="005864A6" w:rsidP="005864A6">
            <w:pPr>
              <w:numPr>
                <w:ilvl w:val="0"/>
                <w:numId w:val="19"/>
              </w:numPr>
              <w:ind w:left="315" w:hanging="284"/>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 xml:space="preserve">National Statistics Offices </w:t>
            </w:r>
          </w:p>
          <w:p w:rsidR="005864A6" w:rsidRPr="00FF2BBC" w:rsidRDefault="005864A6" w:rsidP="005864A6">
            <w:pPr>
              <w:numPr>
                <w:ilvl w:val="0"/>
                <w:numId w:val="19"/>
              </w:numPr>
              <w:ind w:left="315" w:hanging="284"/>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National focal point (?) for SDG reporting</w:t>
            </w:r>
          </w:p>
          <w:p w:rsidR="005864A6" w:rsidRPr="00FF2BBC" w:rsidRDefault="005864A6" w:rsidP="005864A6">
            <w:pPr>
              <w:numPr>
                <w:ilvl w:val="0"/>
                <w:numId w:val="19"/>
              </w:numPr>
              <w:ind w:left="315" w:hanging="284"/>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WHO Country Offices/Regional Offices – WHO Health Emergencies Programme/Global Health Observatory</w:t>
            </w:r>
          </w:p>
          <w:p w:rsidR="001335E7" w:rsidRPr="00FF2BBC" w:rsidRDefault="005864A6" w:rsidP="005864A6">
            <w:pPr>
              <w:numPr>
                <w:ilvl w:val="0"/>
                <w:numId w:val="19"/>
              </w:numPr>
              <w:ind w:left="315" w:hanging="284"/>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Other sectors contributing</w:t>
            </w:r>
          </w:p>
        </w:tc>
      </w:tr>
      <w:tr w:rsidR="001335E7" w:rsidRPr="00AE2C55" w:rsidTr="00AE2C55">
        <w:trPr>
          <w:trHeight w:val="2395"/>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AE2C55" w:rsidRDefault="001335E7" w:rsidP="00673E59">
            <w:pPr>
              <w:autoSpaceDE w:val="0"/>
              <w:autoSpaceDN w:val="0"/>
              <w:adjustRightInd w:val="0"/>
              <w:rPr>
                <w:rFonts w:cs="Arial"/>
                <w:bCs w:val="0"/>
                <w:sz w:val="20"/>
                <w:szCs w:val="20"/>
              </w:rPr>
            </w:pPr>
            <w:r w:rsidRPr="00AE2C55">
              <w:rPr>
                <w:rFonts w:cs="Arial"/>
                <w:bCs w:val="0"/>
                <w:sz w:val="20"/>
                <w:szCs w:val="20"/>
              </w:rPr>
              <w:t xml:space="preserve">Indicator formula </w:t>
            </w:r>
          </w:p>
        </w:tc>
        <w:tc>
          <w:tcPr>
            <w:tcW w:w="3715" w:type="pct"/>
            <w:vAlign w:val="center"/>
          </w:tcPr>
          <w:p w:rsidR="000539E3" w:rsidRPr="00FF2BBC" w:rsidRDefault="000539E3" w:rsidP="005864A6">
            <w:pPr>
              <w:numPr>
                <w:ilvl w:val="0"/>
                <w:numId w:val="17"/>
              </w:numPr>
              <w:ind w:left="315" w:hanging="281"/>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(a + b + c + d + e)/f</w:t>
            </w:r>
          </w:p>
          <w:p w:rsidR="000539E3" w:rsidRPr="00FF2BBC" w:rsidRDefault="000539E3" w:rsidP="005864A6">
            <w:pPr>
              <w:numPr>
                <w:ilvl w:val="0"/>
                <w:numId w:val="17"/>
              </w:numPr>
              <w:ind w:left="315" w:hanging="281"/>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b = direct economic loss to all other damaged/destroyed productive assets attributed to disasters</w:t>
            </w:r>
          </w:p>
          <w:p w:rsidR="000539E3" w:rsidRPr="00FF2BBC" w:rsidRDefault="000539E3" w:rsidP="000539E3">
            <w:pPr>
              <w:numPr>
                <w:ilvl w:val="1"/>
                <w:numId w:val="17"/>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Health facilities forms one component</w:t>
            </w:r>
          </w:p>
          <w:p w:rsidR="000539E3" w:rsidRPr="00FF2BBC" w:rsidRDefault="000539E3" w:rsidP="000539E3">
            <w:pPr>
              <w:numPr>
                <w:ilvl w:val="1"/>
                <w:numId w:val="17"/>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Disaggregated by economic sector (including services) according to standard international classifications</w:t>
            </w:r>
          </w:p>
          <w:p w:rsidR="000539E3" w:rsidRPr="00FF2BBC" w:rsidRDefault="000539E3" w:rsidP="000539E3">
            <w:pPr>
              <w:numPr>
                <w:ilvl w:val="1"/>
                <w:numId w:val="17"/>
              </w:numP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FF2BBC">
              <w:rPr>
                <w:rFonts w:cs="Arial"/>
                <w:sz w:val="20"/>
                <w:szCs w:val="20"/>
              </w:rPr>
              <w:t>b.i</w:t>
            </w:r>
            <w:proofErr w:type="spellEnd"/>
            <w:r w:rsidRPr="00FF2BBC">
              <w:rPr>
                <w:rFonts w:cs="Arial"/>
                <w:sz w:val="20"/>
                <w:szCs w:val="20"/>
              </w:rPr>
              <w:t>. = Average facility size*construction cost*additional % equipment*additional % associated infrastructure</w:t>
            </w:r>
          </w:p>
          <w:p w:rsidR="000539E3" w:rsidRPr="00FF2BBC" w:rsidRDefault="000539E3" w:rsidP="000539E3">
            <w:pPr>
              <w:numPr>
                <w:ilvl w:val="1"/>
                <w:numId w:val="17"/>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Number of workers</w:t>
            </w:r>
          </w:p>
          <w:p w:rsidR="000539E3" w:rsidRPr="00FF2BBC" w:rsidRDefault="000539E3" w:rsidP="000539E3">
            <w:pPr>
              <w:numPr>
                <w:ilvl w:val="1"/>
                <w:numId w:val="17"/>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Apply replacement cost per unit to estimate economic value of replacement cost</w:t>
            </w:r>
          </w:p>
          <w:p w:rsidR="000539E3" w:rsidRPr="00FF2BBC" w:rsidRDefault="000539E3" w:rsidP="005864A6">
            <w:pPr>
              <w:numPr>
                <w:ilvl w:val="2"/>
                <w:numId w:val="17"/>
              </w:numPr>
              <w:ind w:left="1874" w:hanging="425"/>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FF2BBC">
              <w:rPr>
                <w:rFonts w:cs="Arial"/>
                <w:sz w:val="20"/>
                <w:szCs w:val="20"/>
              </w:rPr>
              <w:t>b.ii</w:t>
            </w:r>
            <w:proofErr w:type="spellEnd"/>
            <w:r w:rsidRPr="00FF2BBC">
              <w:rPr>
                <w:rFonts w:cs="Arial"/>
                <w:sz w:val="20"/>
                <w:szCs w:val="20"/>
              </w:rPr>
              <w:t xml:space="preserve"> = </w:t>
            </w:r>
            <w:proofErr w:type="spellStart"/>
            <w:r w:rsidRPr="00FF2BBC">
              <w:rPr>
                <w:rFonts w:cs="Arial"/>
                <w:sz w:val="20"/>
                <w:szCs w:val="20"/>
              </w:rPr>
              <w:t>b.i</w:t>
            </w:r>
            <w:proofErr w:type="spellEnd"/>
            <w:r w:rsidRPr="00FF2BBC">
              <w:rPr>
                <w:rFonts w:cs="Arial"/>
                <w:sz w:val="20"/>
                <w:szCs w:val="20"/>
              </w:rPr>
              <w:t>*number of productive assets of each type*average ratio of damage of all productive assets</w:t>
            </w:r>
          </w:p>
          <w:p w:rsidR="000539E3" w:rsidRPr="00FF2BBC" w:rsidRDefault="000539E3" w:rsidP="000539E3">
            <w:pPr>
              <w:numPr>
                <w:ilvl w:val="1"/>
                <w:numId w:val="17"/>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Convert the value expressed in national currency into USD and derive global loss value</w:t>
            </w:r>
          </w:p>
          <w:p w:rsidR="000539E3" w:rsidRPr="00FF2BBC" w:rsidRDefault="000539E3" w:rsidP="005864A6">
            <w:pPr>
              <w:numPr>
                <w:ilvl w:val="0"/>
                <w:numId w:val="17"/>
              </w:numPr>
              <w:ind w:left="315" w:hanging="281"/>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 xml:space="preserve">d = direct economic loss resulting from damaged/destroyed infrastructure attributed to disasters </w:t>
            </w:r>
          </w:p>
          <w:p w:rsidR="000539E3" w:rsidRPr="00FF2BBC" w:rsidRDefault="000539E3" w:rsidP="000539E3">
            <w:pPr>
              <w:numPr>
                <w:ilvl w:val="1"/>
                <w:numId w:val="17"/>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Health facilities forms one component</w:t>
            </w:r>
          </w:p>
          <w:p w:rsidR="000539E3" w:rsidRPr="00FF2BBC" w:rsidRDefault="000539E3" w:rsidP="000539E3">
            <w:pPr>
              <w:numPr>
                <w:ilvl w:val="1"/>
                <w:numId w:val="17"/>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Health facilities + educational facilities + critical infrastructure units (roads, railways, ports, airports)</w:t>
            </w:r>
          </w:p>
          <w:p w:rsidR="000539E3" w:rsidRPr="00FF2BBC" w:rsidRDefault="000539E3" w:rsidP="000539E3">
            <w:pPr>
              <w:numPr>
                <w:ilvl w:val="1"/>
                <w:numId w:val="17"/>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Buildings: Number of affected facilities*average size of facility*construction cost*additional % equipment*additional % associated infrastructure*affected ratio</w:t>
            </w:r>
          </w:p>
          <w:p w:rsidR="000539E3" w:rsidRPr="00FF2BBC" w:rsidRDefault="000539E3" w:rsidP="000539E3">
            <w:pPr>
              <w:numPr>
                <w:ilvl w:val="1"/>
                <w:numId w:val="17"/>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Critical infrastructure: length of affected elements*rehabilitation cost per unit length</w:t>
            </w:r>
          </w:p>
          <w:p w:rsidR="000539E3" w:rsidRPr="00FF2BBC" w:rsidRDefault="000539E3" w:rsidP="005864A6">
            <w:pPr>
              <w:numPr>
                <w:ilvl w:val="0"/>
                <w:numId w:val="17"/>
              </w:numPr>
              <w:ind w:left="315" w:hanging="281"/>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Other components with no direct role for health</w:t>
            </w:r>
          </w:p>
          <w:p w:rsidR="000539E3" w:rsidRPr="00FF2BBC" w:rsidRDefault="000539E3" w:rsidP="000539E3">
            <w:pPr>
              <w:numPr>
                <w:ilvl w:val="1"/>
                <w:numId w:val="17"/>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a = direct agricultural loss attributed to disasters (direct crop loss + livestock loss + forestry loss + aquaculture loss + fisheries loss)</w:t>
            </w:r>
          </w:p>
          <w:p w:rsidR="000539E3" w:rsidRPr="00FF2BBC" w:rsidRDefault="000539E3" w:rsidP="000539E3">
            <w:pPr>
              <w:numPr>
                <w:ilvl w:val="1"/>
                <w:numId w:val="17"/>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c = direct economic loss in the housing sector attributed to disasters</w:t>
            </w:r>
          </w:p>
          <w:p w:rsidR="000539E3" w:rsidRPr="00FF2BBC" w:rsidRDefault="000539E3" w:rsidP="000539E3">
            <w:pPr>
              <w:numPr>
                <w:ilvl w:val="1"/>
                <w:numId w:val="17"/>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e = direct economic loss to cultural heritage damaged/destroyed attributed to disasters</w:t>
            </w:r>
          </w:p>
          <w:p w:rsidR="001335E7" w:rsidRPr="00FF2BBC" w:rsidRDefault="000539E3" w:rsidP="00AE2C55">
            <w:pPr>
              <w:numPr>
                <w:ilvl w:val="1"/>
                <w:numId w:val="17"/>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 xml:space="preserve"> f = GDP</w:t>
            </w:r>
          </w:p>
        </w:tc>
      </w:tr>
      <w:tr w:rsidR="001335E7" w:rsidRPr="00AE2C55"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AE2C55" w:rsidRDefault="001335E7" w:rsidP="00673E59">
            <w:pPr>
              <w:autoSpaceDE w:val="0"/>
              <w:autoSpaceDN w:val="0"/>
              <w:adjustRightInd w:val="0"/>
              <w:rPr>
                <w:rFonts w:cs="Arial"/>
                <w:bCs w:val="0"/>
                <w:sz w:val="20"/>
                <w:szCs w:val="20"/>
              </w:rPr>
            </w:pPr>
            <w:r w:rsidRPr="00AE2C55">
              <w:rPr>
                <w:rFonts w:cs="Arial"/>
                <w:bCs w:val="0"/>
                <w:sz w:val="20"/>
                <w:szCs w:val="20"/>
              </w:rPr>
              <w:lastRenderedPageBreak/>
              <w:t>Indicator Components</w:t>
            </w:r>
          </w:p>
        </w:tc>
        <w:tc>
          <w:tcPr>
            <w:tcW w:w="3715" w:type="pct"/>
            <w:vAlign w:val="center"/>
          </w:tcPr>
          <w:p w:rsidR="00430271" w:rsidRPr="00FF2BBC" w:rsidRDefault="00430271" w:rsidP="00430271">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FF2BBC">
              <w:rPr>
                <w:rFonts w:cs="Arial"/>
                <w:b/>
                <w:sz w:val="20"/>
                <w:szCs w:val="20"/>
              </w:rPr>
              <w:t>C-3 Direct economic loss to all other damaged/destroyed productive assets</w:t>
            </w:r>
          </w:p>
          <w:p w:rsidR="00430271" w:rsidRPr="00FF2BBC" w:rsidRDefault="00430271" w:rsidP="00430271">
            <w:pPr>
              <w:numPr>
                <w:ilvl w:val="0"/>
                <w:numId w:val="20"/>
              </w:numPr>
              <w:ind w:left="315" w:hanging="284"/>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Data source</w:t>
            </w:r>
          </w:p>
          <w:p w:rsidR="00430271" w:rsidRPr="00FF2BBC" w:rsidRDefault="00430271" w:rsidP="00430271">
            <w:pPr>
              <w:numPr>
                <w:ilvl w:val="1"/>
                <w:numId w:val="20"/>
              </w:numPr>
              <w:ind w:hanging="390"/>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Health facilities, others owned by different departments</w:t>
            </w:r>
          </w:p>
          <w:p w:rsidR="00430271" w:rsidRPr="00FF2BBC" w:rsidRDefault="00430271" w:rsidP="00430271">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Data requirements</w:t>
            </w:r>
          </w:p>
          <w:p w:rsidR="00430271" w:rsidRPr="00FF2BBC" w:rsidRDefault="00430271" w:rsidP="00430271">
            <w:pPr>
              <w:numPr>
                <w:ilvl w:val="1"/>
                <w:numId w:val="20"/>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Minimum = Total by type of asset (e.g. health, education), by hazard type</w:t>
            </w:r>
          </w:p>
          <w:p w:rsidR="00430271" w:rsidRPr="00FF2BBC" w:rsidRDefault="00430271" w:rsidP="00430271">
            <w:pPr>
              <w:numPr>
                <w:ilvl w:val="1"/>
                <w:numId w:val="20"/>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Recommended =  by damaged/destroyed, by geography</w:t>
            </w:r>
          </w:p>
          <w:p w:rsidR="00430271" w:rsidRPr="00FF2BBC" w:rsidRDefault="00430271" w:rsidP="00430271">
            <w:pPr>
              <w:numPr>
                <w:ilvl w:val="1"/>
                <w:numId w:val="20"/>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Desirable = by size category</w:t>
            </w:r>
          </w:p>
          <w:p w:rsidR="00430271" w:rsidRPr="00FF2BBC" w:rsidRDefault="00430271" w:rsidP="00430271">
            <w:pPr>
              <w:cnfStyle w:val="000000000000" w:firstRow="0" w:lastRow="0" w:firstColumn="0" w:lastColumn="0" w:oddVBand="0" w:evenVBand="0" w:oddHBand="0" w:evenHBand="0" w:firstRowFirstColumn="0" w:firstRowLastColumn="0" w:lastRowFirstColumn="0" w:lastRowLastColumn="0"/>
              <w:rPr>
                <w:rFonts w:cs="Arial"/>
                <w:sz w:val="20"/>
                <w:szCs w:val="20"/>
                <w:u w:val="single"/>
              </w:rPr>
            </w:pPr>
          </w:p>
          <w:p w:rsidR="00430271" w:rsidRPr="00FF2BBC" w:rsidRDefault="00430271" w:rsidP="00430271">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FF2BBC">
              <w:rPr>
                <w:rFonts w:cs="Arial"/>
                <w:b/>
                <w:sz w:val="20"/>
                <w:szCs w:val="20"/>
              </w:rPr>
              <w:t>C-5 Direct economic loss resulting from damaged/destroyed infrastructure (including health facilities)</w:t>
            </w:r>
          </w:p>
          <w:p w:rsidR="00430271" w:rsidRPr="00FF2BBC" w:rsidRDefault="00430271" w:rsidP="00430271">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Data source</w:t>
            </w:r>
          </w:p>
          <w:p w:rsidR="00430271" w:rsidRPr="00FF2BBC" w:rsidRDefault="00430271" w:rsidP="00430271">
            <w:pPr>
              <w:numPr>
                <w:ilvl w:val="1"/>
                <w:numId w:val="20"/>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Health facilities, others owned by different departments</w:t>
            </w:r>
          </w:p>
          <w:p w:rsidR="00430271" w:rsidRPr="00FF2BBC" w:rsidRDefault="00430271" w:rsidP="00430271">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Data requirements</w:t>
            </w:r>
          </w:p>
          <w:p w:rsidR="00AE2C55" w:rsidRPr="00FF2BBC" w:rsidRDefault="00430271" w:rsidP="00AE2C55">
            <w:pPr>
              <w:numPr>
                <w:ilvl w:val="1"/>
                <w:numId w:val="20"/>
              </w:numPr>
              <w:contextualSpacing/>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FF2BBC">
              <w:rPr>
                <w:rFonts w:cs="Arial"/>
                <w:sz w:val="20"/>
                <w:szCs w:val="20"/>
              </w:rPr>
              <w:t>Minimum = Total by hazard type</w:t>
            </w:r>
          </w:p>
          <w:p w:rsidR="001335E7" w:rsidRPr="00FF2BBC" w:rsidRDefault="00430271" w:rsidP="00AE2C55">
            <w:pPr>
              <w:numPr>
                <w:ilvl w:val="1"/>
                <w:numId w:val="20"/>
              </w:numPr>
              <w:contextualSpacing/>
              <w:cnfStyle w:val="000000000000" w:firstRow="0" w:lastRow="0" w:firstColumn="0" w:lastColumn="0" w:oddVBand="0" w:evenVBand="0" w:oddHBand="0" w:evenHBand="0" w:firstRowFirstColumn="0" w:firstRowLastColumn="0" w:lastRowFirstColumn="0" w:lastRowLastColumn="0"/>
              <w:rPr>
                <w:rFonts w:cs="Arial"/>
                <w:b/>
                <w:i/>
                <w:sz w:val="20"/>
                <w:szCs w:val="20"/>
              </w:rPr>
            </w:pPr>
            <w:r w:rsidRPr="00FF2BBC">
              <w:rPr>
                <w:rFonts w:cs="Arial"/>
                <w:sz w:val="20"/>
                <w:szCs w:val="20"/>
              </w:rPr>
              <w:t>Recommended =  by damaged/destroyed, by size of facility</w:t>
            </w:r>
          </w:p>
        </w:tc>
      </w:tr>
      <w:tr w:rsidR="001335E7" w:rsidRPr="00AE2C55"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AE2C55" w:rsidRDefault="001335E7" w:rsidP="00673E59">
            <w:pPr>
              <w:autoSpaceDE w:val="0"/>
              <w:autoSpaceDN w:val="0"/>
              <w:adjustRightInd w:val="0"/>
              <w:rPr>
                <w:rFonts w:cs="Arial"/>
                <w:bCs w:val="0"/>
                <w:sz w:val="20"/>
                <w:szCs w:val="20"/>
              </w:rPr>
            </w:pPr>
            <w:r w:rsidRPr="00AE2C55">
              <w:rPr>
                <w:rFonts w:cs="Arial"/>
                <w:bCs w:val="0"/>
                <w:sz w:val="20"/>
                <w:szCs w:val="20"/>
              </w:rPr>
              <w:t>Represented population</w:t>
            </w:r>
          </w:p>
        </w:tc>
        <w:tc>
          <w:tcPr>
            <w:tcW w:w="3715" w:type="pct"/>
            <w:vAlign w:val="center"/>
          </w:tcPr>
          <w:p w:rsidR="001335E7" w:rsidRPr="00FF2BBC" w:rsidRDefault="003A3110" w:rsidP="003A3110">
            <w:p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The population covered in this indicator is those affected by the event.  If a health facility is damaged/</w:t>
            </w:r>
            <w:r w:rsidR="00AE2C55" w:rsidRPr="00FF2BBC">
              <w:rPr>
                <w:rFonts w:cs="Arial"/>
                <w:sz w:val="20"/>
                <w:szCs w:val="20"/>
              </w:rPr>
              <w:t xml:space="preserve"> </w:t>
            </w:r>
            <w:r w:rsidRPr="00FF2BBC">
              <w:rPr>
                <w:rFonts w:cs="Arial"/>
                <w:sz w:val="20"/>
                <w:szCs w:val="20"/>
              </w:rPr>
              <w:t>destroyed, the impact on the community it served needs to be calculated as well as the cost to repair/replace the facility.</w:t>
            </w:r>
          </w:p>
        </w:tc>
      </w:tr>
      <w:tr w:rsidR="001335E7" w:rsidRPr="00AE2C55"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AE2C55" w:rsidRDefault="001335E7" w:rsidP="00673E59">
            <w:pPr>
              <w:autoSpaceDE w:val="0"/>
              <w:autoSpaceDN w:val="0"/>
              <w:adjustRightInd w:val="0"/>
              <w:rPr>
                <w:rFonts w:cs="Arial"/>
                <w:bCs w:val="0"/>
                <w:sz w:val="20"/>
                <w:szCs w:val="20"/>
              </w:rPr>
            </w:pPr>
            <w:r w:rsidRPr="00AE2C55">
              <w:rPr>
                <w:sz w:val="20"/>
                <w:szCs w:val="20"/>
              </w:rPr>
              <w:t>Interpretation considerations</w:t>
            </w:r>
          </w:p>
        </w:tc>
        <w:tc>
          <w:tcPr>
            <w:tcW w:w="3715" w:type="pct"/>
            <w:vAlign w:val="center"/>
          </w:tcPr>
          <w:p w:rsidR="003A3110" w:rsidRPr="00FF2BBC" w:rsidRDefault="003A3110" w:rsidP="003A3110">
            <w:pPr>
              <w:numPr>
                <w:ilvl w:val="0"/>
                <w:numId w:val="21"/>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Health is a component, particularly in C-3 and C-5</w:t>
            </w:r>
          </w:p>
          <w:p w:rsidR="00FF2BBC" w:rsidRPr="00FF2BBC" w:rsidRDefault="00FF2BBC" w:rsidP="003A3110">
            <w:pPr>
              <w:numPr>
                <w:ilvl w:val="0"/>
                <w:numId w:val="21"/>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Determination of how health services should be treated in C-3.</w:t>
            </w:r>
          </w:p>
          <w:p w:rsidR="003A3110" w:rsidRPr="00FF2BBC" w:rsidRDefault="003A3110" w:rsidP="003A3110">
            <w:pPr>
              <w:numPr>
                <w:ilvl w:val="0"/>
                <w:numId w:val="21"/>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Definition</w:t>
            </w:r>
          </w:p>
          <w:p w:rsidR="003A3110" w:rsidRPr="00FF2BBC" w:rsidRDefault="003A3110" w:rsidP="003A3110">
            <w:pPr>
              <w:numPr>
                <w:ilvl w:val="1"/>
                <w:numId w:val="21"/>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Variation in classification of facilities</w:t>
            </w:r>
          </w:p>
          <w:p w:rsidR="003A3110" w:rsidRPr="00FF2BBC" w:rsidRDefault="003A3110" w:rsidP="003A3110">
            <w:pPr>
              <w:numPr>
                <w:ilvl w:val="0"/>
                <w:numId w:val="21"/>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Methodology</w:t>
            </w:r>
          </w:p>
          <w:p w:rsidR="003A3110" w:rsidRPr="00FF2BBC" w:rsidRDefault="003A3110" w:rsidP="003A3110">
            <w:pPr>
              <w:numPr>
                <w:ilvl w:val="1"/>
                <w:numId w:val="21"/>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Price adjustment</w:t>
            </w:r>
          </w:p>
          <w:p w:rsidR="003A3110" w:rsidRPr="00FF2BBC" w:rsidRDefault="003A3110" w:rsidP="003A3110">
            <w:pPr>
              <w:numPr>
                <w:ilvl w:val="1"/>
                <w:numId w:val="21"/>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Variable methodologies used, more so than other indicators</w:t>
            </w:r>
          </w:p>
          <w:p w:rsidR="003A3110" w:rsidRPr="00FF2BBC" w:rsidRDefault="003A3110" w:rsidP="003A3110">
            <w:pPr>
              <w:numPr>
                <w:ilvl w:val="1"/>
                <w:numId w:val="21"/>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rFonts w:cs="Arial"/>
                <w:sz w:val="20"/>
                <w:szCs w:val="20"/>
              </w:rPr>
              <w:t>A range of estimates feeding in, meaning wider error bars</w:t>
            </w:r>
          </w:p>
          <w:p w:rsidR="001335E7" w:rsidRPr="00FF2BBC" w:rsidRDefault="001335E7" w:rsidP="00673E59">
            <w:p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7E263B" w:rsidRPr="00AE2C55"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7E263B" w:rsidRPr="00AE2C55" w:rsidRDefault="007E263B" w:rsidP="00673E59">
            <w:pPr>
              <w:autoSpaceDE w:val="0"/>
              <w:autoSpaceDN w:val="0"/>
              <w:adjustRightInd w:val="0"/>
              <w:rPr>
                <w:sz w:val="20"/>
                <w:szCs w:val="20"/>
              </w:rPr>
            </w:pPr>
            <w:r>
              <w:rPr>
                <w:sz w:val="20"/>
                <w:szCs w:val="20"/>
              </w:rPr>
              <w:t xml:space="preserve">Customisable </w:t>
            </w:r>
            <w:proofErr w:type="spellStart"/>
            <w:r>
              <w:rPr>
                <w:sz w:val="20"/>
                <w:szCs w:val="20"/>
              </w:rPr>
              <w:t>indicastors</w:t>
            </w:r>
            <w:proofErr w:type="spellEnd"/>
          </w:p>
        </w:tc>
        <w:tc>
          <w:tcPr>
            <w:tcW w:w="3715" w:type="pct"/>
            <w:vAlign w:val="center"/>
          </w:tcPr>
          <w:p w:rsidR="007E263B" w:rsidRPr="00FF2BBC" w:rsidRDefault="006222DF" w:rsidP="00FF2BBC">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FF2BBC">
              <w:rPr>
                <w:sz w:val="20"/>
                <w:szCs w:val="20"/>
              </w:rPr>
              <w:t xml:space="preserve">The health sector has a strong interest in reducing direct and indirect economic loss due to all types of hazards. Ministries of health should consider reporting on direct and indirect economic losses </w:t>
            </w:r>
            <w:r w:rsidRPr="00FF2BBC">
              <w:rPr>
                <w:rFonts w:cs="Arial"/>
                <w:bCs/>
                <w:color w:val="000000"/>
                <w:sz w:val="20"/>
                <w:szCs w:val="20"/>
              </w:rPr>
              <w:t xml:space="preserve"> attributable to all types of hazardous events, with a focus on biological hazards. </w:t>
            </w:r>
            <w:r w:rsidRPr="00FF2BBC">
              <w:rPr>
                <w:rFonts w:cs="Arial"/>
                <w:bCs/>
                <w:i/>
                <w:iCs/>
                <w:color w:val="000000"/>
                <w:sz w:val="20"/>
                <w:szCs w:val="20"/>
              </w:rPr>
              <w:t xml:space="preserve">NB. Further guidance needed. </w:t>
            </w:r>
          </w:p>
        </w:tc>
      </w:tr>
    </w:tbl>
    <w:p w:rsidR="006F33FC" w:rsidRDefault="006F33FC" w:rsidP="006F33FC">
      <w:pPr>
        <w:spacing w:after="0" w:line="360" w:lineRule="auto"/>
        <w:ind w:left="66"/>
      </w:pPr>
    </w:p>
    <w:p w:rsidR="001D4FA2" w:rsidRPr="0032591D" w:rsidRDefault="001D4FA2" w:rsidP="001D4FA2">
      <w:pPr>
        <w:spacing w:after="0" w:line="240" w:lineRule="auto"/>
        <w:ind w:left="66"/>
        <w:rPr>
          <w:b/>
        </w:rPr>
      </w:pPr>
      <w:r w:rsidRPr="0032591D">
        <w:rPr>
          <w:b/>
        </w:rPr>
        <w:t>4.</w:t>
      </w:r>
      <w:r w:rsidRPr="0032591D">
        <w:rPr>
          <w:b/>
        </w:rPr>
        <w:tab/>
        <w:t>Reporting</w:t>
      </w:r>
    </w:p>
    <w:p w:rsidR="001D4FA2" w:rsidRDefault="001D4FA2" w:rsidP="001D4FA2">
      <w:pPr>
        <w:spacing w:after="0" w:line="240" w:lineRule="auto"/>
        <w:ind w:left="66"/>
        <w:jc w:val="both"/>
      </w:pPr>
    </w:p>
    <w:p w:rsidR="001D4FA2" w:rsidRDefault="001D4FA2" w:rsidP="001D4FA2">
      <w:pPr>
        <w:spacing w:after="0" w:line="240" w:lineRule="auto"/>
        <w:ind w:left="66"/>
        <w:jc w:val="both"/>
      </w:pPr>
      <w:r>
        <w:t>This guidance notes has outlined the key role that Ministries of Health have in providing data to support reporting a</w:t>
      </w:r>
      <w:r w:rsidR="00444010">
        <w:t>gainst Sendai Framework Target C</w:t>
      </w:r>
      <w:r>
        <w:t xml:space="preserve">.  </w:t>
      </w:r>
    </w:p>
    <w:p w:rsidR="001D4FA2" w:rsidRDefault="001D4FA2" w:rsidP="001D4FA2">
      <w:pPr>
        <w:spacing w:after="0" w:line="240" w:lineRule="auto"/>
        <w:ind w:left="66"/>
        <w:jc w:val="both"/>
      </w:pPr>
    </w:p>
    <w:p w:rsidR="001D4FA2" w:rsidRDefault="001D4FA2" w:rsidP="007E263B">
      <w:pPr>
        <w:spacing w:after="0" w:line="240" w:lineRule="auto"/>
        <w:ind w:left="66"/>
        <w:jc w:val="both"/>
      </w:pPr>
      <w:r>
        <w:t xml:space="preserve">Each country’s Sendai Framework Monitoring National Focal Point has responsibility for submitting national reports for the Sendai Framework. UNISDR developed a web based tool to support Member States in reporting against the indicators.  The Sendai Framework Monitor </w:t>
      </w:r>
      <w:hyperlink r:id="rId9" w:history="1">
        <w:r w:rsidRPr="001131DE">
          <w:rPr>
            <w:rStyle w:val="Hyperlink"/>
          </w:rPr>
          <w:t>https://sendaimonitor.unisdr.org/</w:t>
        </w:r>
      </w:hyperlink>
      <w:r>
        <w:t xml:space="preserve"> not only functions as a reporting tool but also functions as a management tool to help countries develop disaster risk reduction strategies, make risk-informed policy decisions and allocate resources to </w:t>
      </w:r>
      <w:r w:rsidR="007E263B">
        <w:t>manage</w:t>
      </w:r>
      <w:r>
        <w:t xml:space="preserve"> risks.</w:t>
      </w:r>
    </w:p>
    <w:p w:rsidR="001D4FA2" w:rsidRDefault="001D4FA2" w:rsidP="001D4FA2">
      <w:pPr>
        <w:spacing w:after="0" w:line="240" w:lineRule="auto"/>
        <w:ind w:left="66"/>
        <w:jc w:val="both"/>
      </w:pPr>
    </w:p>
    <w:p w:rsidR="001D4FA2" w:rsidRDefault="001D4FA2" w:rsidP="00FF2BBC">
      <w:pPr>
        <w:spacing w:after="0" w:line="240" w:lineRule="auto"/>
        <w:ind w:left="66"/>
        <w:jc w:val="both"/>
      </w:pPr>
      <w:r>
        <w:t>As of March 1, 2018, Member States have been reporting report against the indicators for measuring the global targets of the Sendai Framework, and disaster risk reduction-related indicators of the SDGs, using the online Sendai Framework Monitor.  It is important that the relevant officials in the Ministries of Health are either linked to the National Focal point or is granted access to the Sendai framework Monitor to input health data as outlined in the Guidance Note above.</w:t>
      </w:r>
    </w:p>
    <w:p w:rsidR="001D4FA2" w:rsidRDefault="001D4FA2" w:rsidP="001D4FA2">
      <w:pPr>
        <w:spacing w:after="0" w:line="240" w:lineRule="auto"/>
        <w:ind w:left="66"/>
        <w:jc w:val="both"/>
      </w:pPr>
    </w:p>
    <w:sectPr w:rsidR="001D4FA2" w:rsidSect="002F38D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310" w:rsidRDefault="00EA0310" w:rsidP="00C70B7E">
      <w:pPr>
        <w:spacing w:after="0" w:line="240" w:lineRule="auto"/>
      </w:pPr>
      <w:r>
        <w:separator/>
      </w:r>
    </w:p>
  </w:endnote>
  <w:endnote w:type="continuationSeparator" w:id="0">
    <w:p w:rsidR="00EA0310" w:rsidRDefault="00EA0310" w:rsidP="00C70B7E">
      <w:pPr>
        <w:spacing w:after="0" w:line="240" w:lineRule="auto"/>
      </w:pPr>
      <w:r>
        <w:continuationSeparator/>
      </w:r>
    </w:p>
  </w:endnote>
  <w:endnote w:id="1">
    <w:p w:rsidR="00C70B7E" w:rsidRDefault="00C70B7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C5" w:rsidRDefault="00F90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sz w:val="16"/>
        <w:szCs w:val="16"/>
      </w:rPr>
      <w:id w:val="-68273343"/>
      <w:docPartObj>
        <w:docPartGallery w:val="Page Numbers (Bottom of Page)"/>
        <w:docPartUnique/>
      </w:docPartObj>
    </w:sdtPr>
    <w:sdtEndPr/>
    <w:sdtContent>
      <w:sdt>
        <w:sdtPr>
          <w:rPr>
            <w:color w:val="A6A6A6" w:themeColor="background1" w:themeShade="A6"/>
            <w:sz w:val="16"/>
            <w:szCs w:val="16"/>
          </w:rPr>
          <w:id w:val="860082579"/>
          <w:docPartObj>
            <w:docPartGallery w:val="Page Numbers (Top of Page)"/>
            <w:docPartUnique/>
          </w:docPartObj>
        </w:sdtPr>
        <w:sdtEndPr/>
        <w:sdtContent>
          <w:p w:rsidR="001D4FA2" w:rsidRPr="001D4FA2" w:rsidRDefault="001D4FA2">
            <w:pPr>
              <w:pStyle w:val="Footer"/>
              <w:jc w:val="right"/>
              <w:rPr>
                <w:color w:val="A6A6A6" w:themeColor="background1" w:themeShade="A6"/>
                <w:sz w:val="16"/>
                <w:szCs w:val="16"/>
              </w:rPr>
            </w:pPr>
            <w:r w:rsidRPr="001D4FA2">
              <w:rPr>
                <w:color w:val="A6A6A6" w:themeColor="background1" w:themeShade="A6"/>
                <w:sz w:val="16"/>
                <w:szCs w:val="16"/>
              </w:rPr>
              <w:t xml:space="preserve">Page </w:t>
            </w:r>
            <w:r w:rsidR="002F38D3" w:rsidRPr="001D4FA2">
              <w:rPr>
                <w:bCs/>
                <w:color w:val="A6A6A6" w:themeColor="background1" w:themeShade="A6"/>
                <w:sz w:val="16"/>
                <w:szCs w:val="16"/>
              </w:rPr>
              <w:fldChar w:fldCharType="begin"/>
            </w:r>
            <w:r w:rsidRPr="001D4FA2">
              <w:rPr>
                <w:bCs/>
                <w:color w:val="A6A6A6" w:themeColor="background1" w:themeShade="A6"/>
                <w:sz w:val="16"/>
                <w:szCs w:val="16"/>
              </w:rPr>
              <w:instrText xml:space="preserve"> PAGE </w:instrText>
            </w:r>
            <w:r w:rsidR="002F38D3" w:rsidRPr="001D4FA2">
              <w:rPr>
                <w:bCs/>
                <w:color w:val="A6A6A6" w:themeColor="background1" w:themeShade="A6"/>
                <w:sz w:val="16"/>
                <w:szCs w:val="16"/>
              </w:rPr>
              <w:fldChar w:fldCharType="separate"/>
            </w:r>
            <w:r w:rsidR="00C702CB">
              <w:rPr>
                <w:bCs/>
                <w:noProof/>
                <w:color w:val="A6A6A6" w:themeColor="background1" w:themeShade="A6"/>
                <w:sz w:val="16"/>
                <w:szCs w:val="16"/>
              </w:rPr>
              <w:t>3</w:t>
            </w:r>
            <w:r w:rsidR="002F38D3" w:rsidRPr="001D4FA2">
              <w:rPr>
                <w:bCs/>
                <w:color w:val="A6A6A6" w:themeColor="background1" w:themeShade="A6"/>
                <w:sz w:val="16"/>
                <w:szCs w:val="16"/>
              </w:rPr>
              <w:fldChar w:fldCharType="end"/>
            </w:r>
            <w:r w:rsidRPr="001D4FA2">
              <w:rPr>
                <w:color w:val="A6A6A6" w:themeColor="background1" w:themeShade="A6"/>
                <w:sz w:val="16"/>
                <w:szCs w:val="16"/>
              </w:rPr>
              <w:t xml:space="preserve"> of </w:t>
            </w:r>
            <w:r w:rsidR="002F38D3" w:rsidRPr="001D4FA2">
              <w:rPr>
                <w:bCs/>
                <w:color w:val="A6A6A6" w:themeColor="background1" w:themeShade="A6"/>
                <w:sz w:val="16"/>
                <w:szCs w:val="16"/>
              </w:rPr>
              <w:fldChar w:fldCharType="begin"/>
            </w:r>
            <w:r w:rsidRPr="001D4FA2">
              <w:rPr>
                <w:bCs/>
                <w:color w:val="A6A6A6" w:themeColor="background1" w:themeShade="A6"/>
                <w:sz w:val="16"/>
                <w:szCs w:val="16"/>
              </w:rPr>
              <w:instrText xml:space="preserve"> NUMPAGES  </w:instrText>
            </w:r>
            <w:r w:rsidR="002F38D3" w:rsidRPr="001D4FA2">
              <w:rPr>
                <w:bCs/>
                <w:color w:val="A6A6A6" w:themeColor="background1" w:themeShade="A6"/>
                <w:sz w:val="16"/>
                <w:szCs w:val="16"/>
              </w:rPr>
              <w:fldChar w:fldCharType="separate"/>
            </w:r>
            <w:r w:rsidR="00C702CB">
              <w:rPr>
                <w:bCs/>
                <w:noProof/>
                <w:color w:val="A6A6A6" w:themeColor="background1" w:themeShade="A6"/>
                <w:sz w:val="16"/>
                <w:szCs w:val="16"/>
              </w:rPr>
              <w:t>4</w:t>
            </w:r>
            <w:r w:rsidR="002F38D3" w:rsidRPr="001D4FA2">
              <w:rPr>
                <w:bCs/>
                <w:color w:val="A6A6A6" w:themeColor="background1" w:themeShade="A6"/>
                <w:sz w:val="16"/>
                <w:szCs w:val="16"/>
              </w:rPr>
              <w:fldChar w:fldCharType="end"/>
            </w:r>
          </w:p>
        </w:sdtContent>
      </w:sdt>
    </w:sdtContent>
  </w:sdt>
  <w:p w:rsidR="001D4FA2" w:rsidRPr="00F90BC5" w:rsidRDefault="002B2BB6">
    <w:pPr>
      <w:pStyle w:val="Footer"/>
      <w:rPr>
        <w:sz w:val="18"/>
        <w:szCs w:val="18"/>
      </w:rPr>
    </w:pPr>
    <w:r w:rsidRPr="00F90BC5">
      <w:rPr>
        <w:sz w:val="18"/>
        <w:szCs w:val="18"/>
      </w:rPr>
      <w:fldChar w:fldCharType="begin"/>
    </w:r>
    <w:r w:rsidRPr="00F90BC5">
      <w:rPr>
        <w:sz w:val="18"/>
        <w:szCs w:val="18"/>
      </w:rPr>
      <w:instrText xml:space="preserve"> FILENAME  \* Lower  \* MERGEFORMAT </w:instrText>
    </w:r>
    <w:r w:rsidRPr="00F90BC5">
      <w:rPr>
        <w:sz w:val="18"/>
        <w:szCs w:val="18"/>
      </w:rPr>
      <w:fldChar w:fldCharType="separate"/>
    </w:r>
    <w:r w:rsidR="00F90BC5" w:rsidRPr="00F90BC5">
      <w:rPr>
        <w:noProof/>
        <w:sz w:val="18"/>
        <w:szCs w:val="18"/>
      </w:rPr>
      <w:t>181116 target C sendai reporting guidance notes draft clean.docx</w:t>
    </w:r>
    <w:r w:rsidRPr="00F90BC5">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C5" w:rsidRDefault="00F90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310" w:rsidRDefault="00EA0310" w:rsidP="00C70B7E">
      <w:pPr>
        <w:spacing w:after="0" w:line="240" w:lineRule="auto"/>
      </w:pPr>
      <w:r>
        <w:separator/>
      </w:r>
    </w:p>
  </w:footnote>
  <w:footnote w:type="continuationSeparator" w:id="0">
    <w:p w:rsidR="00EA0310" w:rsidRDefault="00EA0310" w:rsidP="00C70B7E">
      <w:pPr>
        <w:spacing w:after="0" w:line="240" w:lineRule="auto"/>
      </w:pPr>
      <w:r>
        <w:continuationSeparator/>
      </w:r>
    </w:p>
  </w:footnote>
  <w:footnote w:id="1">
    <w:p w:rsidR="00C53DE2" w:rsidRDefault="00C53DE2">
      <w:pPr>
        <w:pStyle w:val="FootnoteText"/>
      </w:pPr>
      <w:r>
        <w:rPr>
          <w:rStyle w:val="FootnoteReference"/>
        </w:rPr>
        <w:footnoteRef/>
      </w:r>
      <w:r>
        <w:t xml:space="preserve"> </w:t>
      </w:r>
      <w:hyperlink r:id="rId1" w:history="1">
        <w:r w:rsidRPr="00A94CFE">
          <w:rPr>
            <w:rStyle w:val="Hyperlink"/>
          </w:rPr>
          <w:t>https://www.gfdrr.org/damage-loss-and-needs-assessment-tools-and-methodology</w:t>
        </w:r>
      </w:hyperlink>
    </w:p>
  </w:footnote>
  <w:footnote w:id="2">
    <w:p w:rsidR="00872D1D" w:rsidRDefault="00872D1D" w:rsidP="00872D1D">
      <w:pPr>
        <w:pStyle w:val="FootnoteText"/>
      </w:pPr>
      <w:r>
        <w:rPr>
          <w:rStyle w:val="FootnoteReference"/>
        </w:rPr>
        <w:footnoteRef/>
      </w:r>
      <w:r>
        <w:t xml:space="preserve"> CRED &amp; UNISDR. 2017. Economic losses, poverty &amp; disasters</w:t>
      </w:r>
    </w:p>
  </w:footnote>
  <w:footnote w:id="3">
    <w:p w:rsidR="005F50D3" w:rsidRDefault="005F50D3">
      <w:pPr>
        <w:pStyle w:val="FootnoteText"/>
      </w:pPr>
      <w:r>
        <w:rPr>
          <w:rStyle w:val="FootnoteReference"/>
        </w:rPr>
        <w:footnoteRef/>
      </w:r>
      <w:r>
        <w:t xml:space="preserve"> </w:t>
      </w:r>
      <w:hyperlink r:id="rId2" w:history="1">
        <w:r w:rsidRPr="00A94CFE">
          <w:rPr>
            <w:rStyle w:val="Hyperlink"/>
          </w:rPr>
          <w:t>https://www.unisdr.org/files/53080_entrybgpaperglobalsummaryreportdisa.pdf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C5" w:rsidRDefault="00F90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3B" w:rsidRPr="00BC5EB6" w:rsidRDefault="00EA0310" w:rsidP="007E263B">
    <w:pPr>
      <w:pStyle w:val="Header"/>
      <w:rPr>
        <w:i/>
        <w:iCs/>
      </w:rPr>
    </w:pPr>
    <w:sdt>
      <w:sdtPr>
        <w:rPr>
          <w:i/>
          <w:iCs/>
        </w:rPr>
        <w:id w:val="2018497773"/>
        <w:docPartObj>
          <w:docPartGallery w:val="Watermarks"/>
          <w:docPartUnique/>
        </w:docPartObj>
      </w:sdtPr>
      <w:sdtEndPr/>
      <w:sdtContent>
        <w:r>
          <w:rPr>
            <w:i/>
            <w:iCs/>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E263B" w:rsidRPr="00BC5EB6">
      <w:rPr>
        <w:i/>
        <w:iCs/>
      </w:rPr>
      <w:t>Draft for review. Please do not quote or distribute further – thank you. WHO</w:t>
    </w:r>
  </w:p>
  <w:p w:rsidR="0081624E" w:rsidRDefault="008162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C5" w:rsidRDefault="00F90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BB3"/>
    <w:multiLevelType w:val="multilevel"/>
    <w:tmpl w:val="55307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752DCC"/>
    <w:multiLevelType w:val="multilevel"/>
    <w:tmpl w:val="2A9E5590"/>
    <w:lvl w:ilvl="0">
      <w:start w:val="1"/>
      <w:numFmt w:val="bullet"/>
      <w:lvlText w:val="●"/>
      <w:lvlJc w:val="left"/>
      <w:pPr>
        <w:ind w:left="410" w:hanging="360"/>
      </w:pPr>
      <w:rPr>
        <w:u w:val="none"/>
      </w:rPr>
    </w:lvl>
    <w:lvl w:ilvl="1">
      <w:start w:val="1"/>
      <w:numFmt w:val="bullet"/>
      <w:lvlText w:val="○"/>
      <w:lvlJc w:val="left"/>
      <w:pPr>
        <w:ind w:left="1130" w:hanging="360"/>
      </w:pPr>
      <w:rPr>
        <w:u w:val="none"/>
      </w:rPr>
    </w:lvl>
    <w:lvl w:ilvl="2">
      <w:start w:val="1"/>
      <w:numFmt w:val="bullet"/>
      <w:lvlText w:val="■"/>
      <w:lvlJc w:val="left"/>
      <w:pPr>
        <w:ind w:left="1850" w:hanging="360"/>
      </w:pPr>
      <w:rPr>
        <w:u w:val="none"/>
      </w:rPr>
    </w:lvl>
    <w:lvl w:ilvl="3">
      <w:start w:val="1"/>
      <w:numFmt w:val="bullet"/>
      <w:lvlText w:val="●"/>
      <w:lvlJc w:val="left"/>
      <w:pPr>
        <w:ind w:left="2570" w:hanging="360"/>
      </w:pPr>
      <w:rPr>
        <w:u w:val="none"/>
      </w:rPr>
    </w:lvl>
    <w:lvl w:ilvl="4">
      <w:start w:val="1"/>
      <w:numFmt w:val="bullet"/>
      <w:lvlText w:val="○"/>
      <w:lvlJc w:val="left"/>
      <w:pPr>
        <w:ind w:left="3290" w:hanging="360"/>
      </w:pPr>
      <w:rPr>
        <w:u w:val="none"/>
      </w:rPr>
    </w:lvl>
    <w:lvl w:ilvl="5">
      <w:start w:val="1"/>
      <w:numFmt w:val="bullet"/>
      <w:lvlText w:val="■"/>
      <w:lvlJc w:val="left"/>
      <w:pPr>
        <w:ind w:left="4010" w:hanging="360"/>
      </w:pPr>
      <w:rPr>
        <w:u w:val="none"/>
      </w:rPr>
    </w:lvl>
    <w:lvl w:ilvl="6">
      <w:start w:val="1"/>
      <w:numFmt w:val="bullet"/>
      <w:lvlText w:val="●"/>
      <w:lvlJc w:val="left"/>
      <w:pPr>
        <w:ind w:left="4730" w:hanging="360"/>
      </w:pPr>
      <w:rPr>
        <w:u w:val="none"/>
      </w:rPr>
    </w:lvl>
    <w:lvl w:ilvl="7">
      <w:start w:val="1"/>
      <w:numFmt w:val="bullet"/>
      <w:lvlText w:val="○"/>
      <w:lvlJc w:val="left"/>
      <w:pPr>
        <w:ind w:left="5450" w:hanging="360"/>
      </w:pPr>
      <w:rPr>
        <w:u w:val="none"/>
      </w:rPr>
    </w:lvl>
    <w:lvl w:ilvl="8">
      <w:start w:val="1"/>
      <w:numFmt w:val="bullet"/>
      <w:lvlText w:val="■"/>
      <w:lvlJc w:val="left"/>
      <w:pPr>
        <w:ind w:left="6170" w:hanging="360"/>
      </w:pPr>
      <w:rPr>
        <w:u w:val="none"/>
      </w:rPr>
    </w:lvl>
  </w:abstractNum>
  <w:abstractNum w:abstractNumId="2">
    <w:nsid w:val="16F60008"/>
    <w:multiLevelType w:val="multilevel"/>
    <w:tmpl w:val="B38EF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081744"/>
    <w:multiLevelType w:val="multilevel"/>
    <w:tmpl w:val="FD3EC9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11424CE"/>
    <w:multiLevelType w:val="multilevel"/>
    <w:tmpl w:val="50A647E6"/>
    <w:lvl w:ilvl="0">
      <w:start w:val="1"/>
      <w:numFmt w:val="bullet"/>
      <w:lvlText w:val="●"/>
      <w:lvlJc w:val="left"/>
      <w:pPr>
        <w:ind w:left="720" w:hanging="360"/>
      </w:pPr>
      <w:rPr>
        <w:u w:val="none"/>
      </w:rPr>
    </w:lvl>
    <w:lvl w:ilvl="1">
      <w:start w:val="1"/>
      <w:numFmt w:val="bullet"/>
      <w:lvlText w:val="○"/>
      <w:lvlJc w:val="left"/>
      <w:pPr>
        <w:ind w:left="1069"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2DE57DB"/>
    <w:multiLevelType w:val="hybridMultilevel"/>
    <w:tmpl w:val="69BCD578"/>
    <w:lvl w:ilvl="0" w:tplc="069C0E8E">
      <w:start w:val="5"/>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217274"/>
    <w:multiLevelType w:val="hybridMultilevel"/>
    <w:tmpl w:val="5090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B91F66"/>
    <w:multiLevelType w:val="multilevel"/>
    <w:tmpl w:val="68B09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8A3406A"/>
    <w:multiLevelType w:val="multilevel"/>
    <w:tmpl w:val="B390129C"/>
    <w:lvl w:ilvl="0">
      <w:start w:val="1"/>
      <w:numFmt w:val="bullet"/>
      <w:lvlText w:val="●"/>
      <w:lvlJc w:val="left"/>
      <w:pPr>
        <w:ind w:left="785" w:hanging="360"/>
      </w:pPr>
      <w:rPr>
        <w:u w:val="none"/>
      </w:rPr>
    </w:lvl>
    <w:lvl w:ilvl="1">
      <w:start w:val="1"/>
      <w:numFmt w:val="bullet"/>
      <w:lvlText w:val="○"/>
      <w:lvlJc w:val="left"/>
      <w:pPr>
        <w:ind w:left="1505" w:hanging="360"/>
      </w:pPr>
      <w:rPr>
        <w:u w:val="none"/>
      </w:rPr>
    </w:lvl>
    <w:lvl w:ilvl="2">
      <w:start w:val="1"/>
      <w:numFmt w:val="bullet"/>
      <w:lvlText w:val="■"/>
      <w:lvlJc w:val="left"/>
      <w:pPr>
        <w:ind w:left="2225" w:hanging="360"/>
      </w:pPr>
      <w:rPr>
        <w:u w:val="none"/>
      </w:rPr>
    </w:lvl>
    <w:lvl w:ilvl="3">
      <w:start w:val="1"/>
      <w:numFmt w:val="bullet"/>
      <w:lvlText w:val="●"/>
      <w:lvlJc w:val="left"/>
      <w:pPr>
        <w:ind w:left="2945" w:hanging="360"/>
      </w:pPr>
      <w:rPr>
        <w:u w:val="none"/>
      </w:rPr>
    </w:lvl>
    <w:lvl w:ilvl="4">
      <w:start w:val="1"/>
      <w:numFmt w:val="bullet"/>
      <w:lvlText w:val="○"/>
      <w:lvlJc w:val="left"/>
      <w:pPr>
        <w:ind w:left="3665" w:hanging="360"/>
      </w:pPr>
      <w:rPr>
        <w:u w:val="none"/>
      </w:rPr>
    </w:lvl>
    <w:lvl w:ilvl="5">
      <w:start w:val="1"/>
      <w:numFmt w:val="bullet"/>
      <w:lvlText w:val="■"/>
      <w:lvlJc w:val="left"/>
      <w:pPr>
        <w:ind w:left="4385" w:hanging="360"/>
      </w:pPr>
      <w:rPr>
        <w:u w:val="none"/>
      </w:rPr>
    </w:lvl>
    <w:lvl w:ilvl="6">
      <w:start w:val="1"/>
      <w:numFmt w:val="bullet"/>
      <w:lvlText w:val="●"/>
      <w:lvlJc w:val="left"/>
      <w:pPr>
        <w:ind w:left="5105" w:hanging="360"/>
      </w:pPr>
      <w:rPr>
        <w:u w:val="none"/>
      </w:rPr>
    </w:lvl>
    <w:lvl w:ilvl="7">
      <w:start w:val="1"/>
      <w:numFmt w:val="bullet"/>
      <w:lvlText w:val="○"/>
      <w:lvlJc w:val="left"/>
      <w:pPr>
        <w:ind w:left="5825" w:hanging="360"/>
      </w:pPr>
      <w:rPr>
        <w:u w:val="none"/>
      </w:rPr>
    </w:lvl>
    <w:lvl w:ilvl="8">
      <w:start w:val="1"/>
      <w:numFmt w:val="bullet"/>
      <w:lvlText w:val="■"/>
      <w:lvlJc w:val="left"/>
      <w:pPr>
        <w:ind w:left="6545" w:hanging="360"/>
      </w:pPr>
      <w:rPr>
        <w:u w:val="none"/>
      </w:rPr>
    </w:lvl>
  </w:abstractNum>
  <w:abstractNum w:abstractNumId="9">
    <w:nsid w:val="2CE168C5"/>
    <w:multiLevelType w:val="multilevel"/>
    <w:tmpl w:val="4268F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FDC3E9E"/>
    <w:multiLevelType w:val="hybridMultilevel"/>
    <w:tmpl w:val="FD347B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921002"/>
    <w:multiLevelType w:val="hybridMultilevel"/>
    <w:tmpl w:val="5090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1069CA"/>
    <w:multiLevelType w:val="hybridMultilevel"/>
    <w:tmpl w:val="5090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5A0BDB"/>
    <w:multiLevelType w:val="hybridMultilevel"/>
    <w:tmpl w:val="1A20B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C16ADF"/>
    <w:multiLevelType w:val="multilevel"/>
    <w:tmpl w:val="76E6D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84B52F2"/>
    <w:multiLevelType w:val="hybridMultilevel"/>
    <w:tmpl w:val="6304F354"/>
    <w:lvl w:ilvl="0" w:tplc="009C9E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B8093C"/>
    <w:multiLevelType w:val="multilevel"/>
    <w:tmpl w:val="CAB86F7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nsid w:val="4B314999"/>
    <w:multiLevelType w:val="hybridMultilevel"/>
    <w:tmpl w:val="91E6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4D1DC8"/>
    <w:multiLevelType w:val="hybridMultilevel"/>
    <w:tmpl w:val="7E2E41D0"/>
    <w:lvl w:ilvl="0" w:tplc="A544B05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024DB9"/>
    <w:multiLevelType w:val="multilevel"/>
    <w:tmpl w:val="E93E82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nsid w:val="69C624F6"/>
    <w:multiLevelType w:val="hybridMultilevel"/>
    <w:tmpl w:val="3BEA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482765"/>
    <w:multiLevelType w:val="hybridMultilevel"/>
    <w:tmpl w:val="C4186A50"/>
    <w:lvl w:ilvl="0" w:tplc="069C0E8E">
      <w:start w:val="5"/>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21"/>
  </w:num>
  <w:num w:numId="3">
    <w:abstractNumId w:val="2"/>
  </w:num>
  <w:num w:numId="4">
    <w:abstractNumId w:val="5"/>
  </w:num>
  <w:num w:numId="5">
    <w:abstractNumId w:val="10"/>
  </w:num>
  <w:num w:numId="6">
    <w:abstractNumId w:val="7"/>
  </w:num>
  <w:num w:numId="7">
    <w:abstractNumId w:val="9"/>
  </w:num>
  <w:num w:numId="8">
    <w:abstractNumId w:val="19"/>
  </w:num>
  <w:num w:numId="9">
    <w:abstractNumId w:val="0"/>
  </w:num>
  <w:num w:numId="10">
    <w:abstractNumId w:val="14"/>
  </w:num>
  <w:num w:numId="11">
    <w:abstractNumId w:val="15"/>
  </w:num>
  <w:num w:numId="12">
    <w:abstractNumId w:val="12"/>
  </w:num>
  <w:num w:numId="13">
    <w:abstractNumId w:val="11"/>
  </w:num>
  <w:num w:numId="14">
    <w:abstractNumId w:val="6"/>
  </w:num>
  <w:num w:numId="15">
    <w:abstractNumId w:val="18"/>
  </w:num>
  <w:num w:numId="16">
    <w:abstractNumId w:val="13"/>
  </w:num>
  <w:num w:numId="17">
    <w:abstractNumId w:val="4"/>
  </w:num>
  <w:num w:numId="18">
    <w:abstractNumId w:val="17"/>
  </w:num>
  <w:num w:numId="19">
    <w:abstractNumId w:val="8"/>
  </w:num>
  <w:num w:numId="20">
    <w:abstractNumId w:val="1"/>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75"/>
    <w:rsid w:val="00023917"/>
    <w:rsid w:val="000539E3"/>
    <w:rsid w:val="000C7AAE"/>
    <w:rsid w:val="00115504"/>
    <w:rsid w:val="001335E7"/>
    <w:rsid w:val="00157AB2"/>
    <w:rsid w:val="001D4FA2"/>
    <w:rsid w:val="00215166"/>
    <w:rsid w:val="00226F2F"/>
    <w:rsid w:val="002B2BB6"/>
    <w:rsid w:val="002D5925"/>
    <w:rsid w:val="002F2F52"/>
    <w:rsid w:val="002F38D3"/>
    <w:rsid w:val="00326802"/>
    <w:rsid w:val="0033521D"/>
    <w:rsid w:val="00354B93"/>
    <w:rsid w:val="00375E2D"/>
    <w:rsid w:val="00386E3A"/>
    <w:rsid w:val="003A3110"/>
    <w:rsid w:val="00413E4C"/>
    <w:rsid w:val="00430271"/>
    <w:rsid w:val="00444010"/>
    <w:rsid w:val="00490D1E"/>
    <w:rsid w:val="0055464C"/>
    <w:rsid w:val="005864A6"/>
    <w:rsid w:val="00597F8D"/>
    <w:rsid w:val="005D54AA"/>
    <w:rsid w:val="005F50D3"/>
    <w:rsid w:val="006008F2"/>
    <w:rsid w:val="006222DF"/>
    <w:rsid w:val="00636172"/>
    <w:rsid w:val="006730CC"/>
    <w:rsid w:val="00675563"/>
    <w:rsid w:val="0069259F"/>
    <w:rsid w:val="00692AC6"/>
    <w:rsid w:val="006D307D"/>
    <w:rsid w:val="006E7FC4"/>
    <w:rsid w:val="006F33FC"/>
    <w:rsid w:val="007A7912"/>
    <w:rsid w:val="007E263B"/>
    <w:rsid w:val="008054A1"/>
    <w:rsid w:val="00806D7E"/>
    <w:rsid w:val="0081624E"/>
    <w:rsid w:val="00830026"/>
    <w:rsid w:val="00867FDC"/>
    <w:rsid w:val="00872D1D"/>
    <w:rsid w:val="008B171B"/>
    <w:rsid w:val="00983B3C"/>
    <w:rsid w:val="009F5446"/>
    <w:rsid w:val="00A61D8F"/>
    <w:rsid w:val="00A94CFE"/>
    <w:rsid w:val="00AE2C55"/>
    <w:rsid w:val="00B9114C"/>
    <w:rsid w:val="00BA6975"/>
    <w:rsid w:val="00C1195A"/>
    <w:rsid w:val="00C53DE2"/>
    <w:rsid w:val="00C702CB"/>
    <w:rsid w:val="00C70B7E"/>
    <w:rsid w:val="00CA289F"/>
    <w:rsid w:val="00D44F8E"/>
    <w:rsid w:val="00D72466"/>
    <w:rsid w:val="00DA483B"/>
    <w:rsid w:val="00E25F98"/>
    <w:rsid w:val="00E70D5D"/>
    <w:rsid w:val="00E93108"/>
    <w:rsid w:val="00EA0310"/>
    <w:rsid w:val="00EF1E88"/>
    <w:rsid w:val="00F32C25"/>
    <w:rsid w:val="00F852DC"/>
    <w:rsid w:val="00F90BC5"/>
    <w:rsid w:val="00FF2B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975"/>
    <w:pPr>
      <w:ind w:left="720"/>
      <w:contextualSpacing/>
    </w:pPr>
  </w:style>
  <w:style w:type="table" w:styleId="TableGrid">
    <w:name w:val="Table Grid"/>
    <w:basedOn w:val="TableNormal"/>
    <w:uiPriority w:val="59"/>
    <w:rsid w:val="00BA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93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9310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E9310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6">
    <w:name w:val="Colorful List Accent 6"/>
    <w:basedOn w:val="TableNormal"/>
    <w:uiPriority w:val="72"/>
    <w:rsid w:val="00E9310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1">
    <w:name w:val="Colorful List Accent 1"/>
    <w:basedOn w:val="TableNormal"/>
    <w:uiPriority w:val="72"/>
    <w:rsid w:val="00354B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1">
    <w:name w:val="Medium Grid 3 Accent 1"/>
    <w:basedOn w:val="TableNormal"/>
    <w:uiPriority w:val="69"/>
    <w:rsid w:val="00354B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sid w:val="00430271"/>
    <w:rPr>
      <w:sz w:val="16"/>
      <w:szCs w:val="16"/>
    </w:rPr>
  </w:style>
  <w:style w:type="paragraph" w:styleId="CommentText">
    <w:name w:val="annotation text"/>
    <w:basedOn w:val="Normal"/>
    <w:link w:val="CommentTextChar"/>
    <w:uiPriority w:val="99"/>
    <w:semiHidden/>
    <w:unhideWhenUsed/>
    <w:rsid w:val="00430271"/>
    <w:pPr>
      <w:spacing w:line="240" w:lineRule="auto"/>
    </w:pPr>
    <w:rPr>
      <w:sz w:val="20"/>
      <w:szCs w:val="20"/>
    </w:rPr>
  </w:style>
  <w:style w:type="character" w:customStyle="1" w:styleId="CommentTextChar">
    <w:name w:val="Comment Text Char"/>
    <w:basedOn w:val="DefaultParagraphFont"/>
    <w:link w:val="CommentText"/>
    <w:uiPriority w:val="99"/>
    <w:semiHidden/>
    <w:rsid w:val="00430271"/>
    <w:rPr>
      <w:sz w:val="20"/>
      <w:szCs w:val="20"/>
    </w:rPr>
  </w:style>
  <w:style w:type="paragraph" w:styleId="CommentSubject">
    <w:name w:val="annotation subject"/>
    <w:basedOn w:val="CommentText"/>
    <w:next w:val="CommentText"/>
    <w:link w:val="CommentSubjectChar"/>
    <w:uiPriority w:val="99"/>
    <w:semiHidden/>
    <w:unhideWhenUsed/>
    <w:rsid w:val="00430271"/>
    <w:rPr>
      <w:b/>
      <w:bCs/>
    </w:rPr>
  </w:style>
  <w:style w:type="character" w:customStyle="1" w:styleId="CommentSubjectChar">
    <w:name w:val="Comment Subject Char"/>
    <w:basedOn w:val="CommentTextChar"/>
    <w:link w:val="CommentSubject"/>
    <w:uiPriority w:val="99"/>
    <w:semiHidden/>
    <w:rsid w:val="00430271"/>
    <w:rPr>
      <w:b/>
      <w:bCs/>
      <w:sz w:val="20"/>
      <w:szCs w:val="20"/>
    </w:rPr>
  </w:style>
  <w:style w:type="paragraph" w:styleId="BalloonText">
    <w:name w:val="Balloon Text"/>
    <w:basedOn w:val="Normal"/>
    <w:link w:val="BalloonTextChar"/>
    <w:uiPriority w:val="99"/>
    <w:semiHidden/>
    <w:unhideWhenUsed/>
    <w:rsid w:val="00430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271"/>
    <w:rPr>
      <w:rFonts w:ascii="Tahoma" w:hAnsi="Tahoma" w:cs="Tahoma"/>
      <w:sz w:val="16"/>
      <w:szCs w:val="16"/>
    </w:rPr>
  </w:style>
  <w:style w:type="paragraph" w:styleId="EndnoteText">
    <w:name w:val="endnote text"/>
    <w:basedOn w:val="Normal"/>
    <w:link w:val="EndnoteTextChar"/>
    <w:uiPriority w:val="99"/>
    <w:semiHidden/>
    <w:unhideWhenUsed/>
    <w:rsid w:val="00C70B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0B7E"/>
    <w:rPr>
      <w:sz w:val="20"/>
      <w:szCs w:val="20"/>
    </w:rPr>
  </w:style>
  <w:style w:type="character" w:styleId="EndnoteReference">
    <w:name w:val="endnote reference"/>
    <w:basedOn w:val="DefaultParagraphFont"/>
    <w:uiPriority w:val="99"/>
    <w:semiHidden/>
    <w:unhideWhenUsed/>
    <w:rsid w:val="00C70B7E"/>
    <w:rPr>
      <w:vertAlign w:val="superscript"/>
    </w:rPr>
  </w:style>
  <w:style w:type="character" w:styleId="Hyperlink">
    <w:name w:val="Hyperlink"/>
    <w:basedOn w:val="DefaultParagraphFont"/>
    <w:uiPriority w:val="99"/>
    <w:unhideWhenUsed/>
    <w:rsid w:val="00C70B7E"/>
    <w:rPr>
      <w:color w:val="0000FF" w:themeColor="hyperlink"/>
      <w:u w:val="single"/>
    </w:rPr>
  </w:style>
  <w:style w:type="paragraph" w:styleId="Header">
    <w:name w:val="header"/>
    <w:basedOn w:val="Normal"/>
    <w:link w:val="HeaderChar"/>
    <w:uiPriority w:val="99"/>
    <w:unhideWhenUsed/>
    <w:rsid w:val="00816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24E"/>
  </w:style>
  <w:style w:type="paragraph" w:styleId="Footer">
    <w:name w:val="footer"/>
    <w:basedOn w:val="Normal"/>
    <w:link w:val="FooterChar"/>
    <w:uiPriority w:val="99"/>
    <w:unhideWhenUsed/>
    <w:rsid w:val="00816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24E"/>
  </w:style>
  <w:style w:type="paragraph" w:styleId="FootnoteText">
    <w:name w:val="footnote text"/>
    <w:basedOn w:val="Normal"/>
    <w:link w:val="FootnoteTextChar"/>
    <w:uiPriority w:val="99"/>
    <w:semiHidden/>
    <w:unhideWhenUsed/>
    <w:rsid w:val="00C53D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DE2"/>
    <w:rPr>
      <w:sz w:val="20"/>
      <w:szCs w:val="20"/>
    </w:rPr>
  </w:style>
  <w:style w:type="character" w:styleId="FootnoteReference">
    <w:name w:val="footnote reference"/>
    <w:basedOn w:val="DefaultParagraphFont"/>
    <w:uiPriority w:val="99"/>
    <w:semiHidden/>
    <w:unhideWhenUsed/>
    <w:rsid w:val="00C53D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975"/>
    <w:pPr>
      <w:ind w:left="720"/>
      <w:contextualSpacing/>
    </w:pPr>
  </w:style>
  <w:style w:type="table" w:styleId="TableGrid">
    <w:name w:val="Table Grid"/>
    <w:basedOn w:val="TableNormal"/>
    <w:uiPriority w:val="59"/>
    <w:rsid w:val="00BA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93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9310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E9310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6">
    <w:name w:val="Colorful List Accent 6"/>
    <w:basedOn w:val="TableNormal"/>
    <w:uiPriority w:val="72"/>
    <w:rsid w:val="00E9310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1">
    <w:name w:val="Colorful List Accent 1"/>
    <w:basedOn w:val="TableNormal"/>
    <w:uiPriority w:val="72"/>
    <w:rsid w:val="00354B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1">
    <w:name w:val="Medium Grid 3 Accent 1"/>
    <w:basedOn w:val="TableNormal"/>
    <w:uiPriority w:val="69"/>
    <w:rsid w:val="00354B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sid w:val="00430271"/>
    <w:rPr>
      <w:sz w:val="16"/>
      <w:szCs w:val="16"/>
    </w:rPr>
  </w:style>
  <w:style w:type="paragraph" w:styleId="CommentText">
    <w:name w:val="annotation text"/>
    <w:basedOn w:val="Normal"/>
    <w:link w:val="CommentTextChar"/>
    <w:uiPriority w:val="99"/>
    <w:semiHidden/>
    <w:unhideWhenUsed/>
    <w:rsid w:val="00430271"/>
    <w:pPr>
      <w:spacing w:line="240" w:lineRule="auto"/>
    </w:pPr>
    <w:rPr>
      <w:sz w:val="20"/>
      <w:szCs w:val="20"/>
    </w:rPr>
  </w:style>
  <w:style w:type="character" w:customStyle="1" w:styleId="CommentTextChar">
    <w:name w:val="Comment Text Char"/>
    <w:basedOn w:val="DefaultParagraphFont"/>
    <w:link w:val="CommentText"/>
    <w:uiPriority w:val="99"/>
    <w:semiHidden/>
    <w:rsid w:val="00430271"/>
    <w:rPr>
      <w:sz w:val="20"/>
      <w:szCs w:val="20"/>
    </w:rPr>
  </w:style>
  <w:style w:type="paragraph" w:styleId="CommentSubject">
    <w:name w:val="annotation subject"/>
    <w:basedOn w:val="CommentText"/>
    <w:next w:val="CommentText"/>
    <w:link w:val="CommentSubjectChar"/>
    <w:uiPriority w:val="99"/>
    <w:semiHidden/>
    <w:unhideWhenUsed/>
    <w:rsid w:val="00430271"/>
    <w:rPr>
      <w:b/>
      <w:bCs/>
    </w:rPr>
  </w:style>
  <w:style w:type="character" w:customStyle="1" w:styleId="CommentSubjectChar">
    <w:name w:val="Comment Subject Char"/>
    <w:basedOn w:val="CommentTextChar"/>
    <w:link w:val="CommentSubject"/>
    <w:uiPriority w:val="99"/>
    <w:semiHidden/>
    <w:rsid w:val="00430271"/>
    <w:rPr>
      <w:b/>
      <w:bCs/>
      <w:sz w:val="20"/>
      <w:szCs w:val="20"/>
    </w:rPr>
  </w:style>
  <w:style w:type="paragraph" w:styleId="BalloonText">
    <w:name w:val="Balloon Text"/>
    <w:basedOn w:val="Normal"/>
    <w:link w:val="BalloonTextChar"/>
    <w:uiPriority w:val="99"/>
    <w:semiHidden/>
    <w:unhideWhenUsed/>
    <w:rsid w:val="00430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271"/>
    <w:rPr>
      <w:rFonts w:ascii="Tahoma" w:hAnsi="Tahoma" w:cs="Tahoma"/>
      <w:sz w:val="16"/>
      <w:szCs w:val="16"/>
    </w:rPr>
  </w:style>
  <w:style w:type="paragraph" w:styleId="EndnoteText">
    <w:name w:val="endnote text"/>
    <w:basedOn w:val="Normal"/>
    <w:link w:val="EndnoteTextChar"/>
    <w:uiPriority w:val="99"/>
    <w:semiHidden/>
    <w:unhideWhenUsed/>
    <w:rsid w:val="00C70B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0B7E"/>
    <w:rPr>
      <w:sz w:val="20"/>
      <w:szCs w:val="20"/>
    </w:rPr>
  </w:style>
  <w:style w:type="character" w:styleId="EndnoteReference">
    <w:name w:val="endnote reference"/>
    <w:basedOn w:val="DefaultParagraphFont"/>
    <w:uiPriority w:val="99"/>
    <w:semiHidden/>
    <w:unhideWhenUsed/>
    <w:rsid w:val="00C70B7E"/>
    <w:rPr>
      <w:vertAlign w:val="superscript"/>
    </w:rPr>
  </w:style>
  <w:style w:type="character" w:styleId="Hyperlink">
    <w:name w:val="Hyperlink"/>
    <w:basedOn w:val="DefaultParagraphFont"/>
    <w:uiPriority w:val="99"/>
    <w:unhideWhenUsed/>
    <w:rsid w:val="00C70B7E"/>
    <w:rPr>
      <w:color w:val="0000FF" w:themeColor="hyperlink"/>
      <w:u w:val="single"/>
    </w:rPr>
  </w:style>
  <w:style w:type="paragraph" w:styleId="Header">
    <w:name w:val="header"/>
    <w:basedOn w:val="Normal"/>
    <w:link w:val="HeaderChar"/>
    <w:uiPriority w:val="99"/>
    <w:unhideWhenUsed/>
    <w:rsid w:val="00816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24E"/>
  </w:style>
  <w:style w:type="paragraph" w:styleId="Footer">
    <w:name w:val="footer"/>
    <w:basedOn w:val="Normal"/>
    <w:link w:val="FooterChar"/>
    <w:uiPriority w:val="99"/>
    <w:unhideWhenUsed/>
    <w:rsid w:val="00816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24E"/>
  </w:style>
  <w:style w:type="paragraph" w:styleId="FootnoteText">
    <w:name w:val="footnote text"/>
    <w:basedOn w:val="Normal"/>
    <w:link w:val="FootnoteTextChar"/>
    <w:uiPriority w:val="99"/>
    <w:semiHidden/>
    <w:unhideWhenUsed/>
    <w:rsid w:val="00C53D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DE2"/>
    <w:rPr>
      <w:sz w:val="20"/>
      <w:szCs w:val="20"/>
    </w:rPr>
  </w:style>
  <w:style w:type="character" w:styleId="FootnoteReference">
    <w:name w:val="footnote reference"/>
    <w:basedOn w:val="DefaultParagraphFont"/>
    <w:uiPriority w:val="99"/>
    <w:semiHidden/>
    <w:unhideWhenUsed/>
    <w:rsid w:val="00C53D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endaimonitor.unisdr.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unisdr.org/files/53080_entrybgpaperglobalsummaryreportdisa.pdf" TargetMode="External"/><Relationship Id="rId1" Type="http://schemas.openxmlformats.org/officeDocument/2006/relationships/hyperlink" Target="https://www.gfdrr.org/damage-loss-and-needs-assessment-tools-and-method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64DA2F-72B0-4235-AB58-0ECA71B6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Rohaida Ismail</dc:creator>
  <cp:lastModifiedBy>Jonathan Abrahams</cp:lastModifiedBy>
  <cp:revision>6</cp:revision>
  <cp:lastPrinted>2018-11-07T15:50:00Z</cp:lastPrinted>
  <dcterms:created xsi:type="dcterms:W3CDTF">2018-11-17T12:34:00Z</dcterms:created>
  <dcterms:modified xsi:type="dcterms:W3CDTF">2018-11-18T15:15:00Z</dcterms:modified>
</cp:coreProperties>
</file>