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F6" w:rsidRPr="00A67164" w:rsidRDefault="00822AF6" w:rsidP="00822AF6">
      <w:pPr>
        <w:jc w:val="center"/>
        <w:rPr>
          <w:b/>
          <w:sz w:val="20"/>
          <w:szCs w:val="20"/>
        </w:rPr>
      </w:pPr>
      <w:bookmarkStart w:id="0" w:name="_GoBack"/>
      <w:bookmarkEnd w:id="0"/>
      <w:r w:rsidRPr="00A67164">
        <w:rPr>
          <w:b/>
          <w:bCs/>
          <w:color w:val="1F497D"/>
          <w:sz w:val="20"/>
          <w:szCs w:val="20"/>
        </w:rPr>
        <w:t>WHO Technical Guidance Notes on Sendai Framework reporting for Ministries of Health</w:t>
      </w:r>
    </w:p>
    <w:p w:rsidR="00671D29" w:rsidRPr="002533FD" w:rsidRDefault="002533FD" w:rsidP="002533FD">
      <w:pPr>
        <w:rPr>
          <w:b/>
          <w:sz w:val="24"/>
          <w:szCs w:val="24"/>
        </w:rPr>
      </w:pPr>
      <w:r w:rsidRPr="002533FD">
        <w:rPr>
          <w:b/>
          <w:sz w:val="24"/>
          <w:szCs w:val="24"/>
        </w:rPr>
        <w:t xml:space="preserve">Target B: Substantially reduce the number of affected people globally by 2030, aiming to lower the average global figure per 100,000 between 2020-2030 compared to </w:t>
      </w:r>
      <w:r w:rsidR="00671D29" w:rsidRPr="002533FD">
        <w:rPr>
          <w:b/>
          <w:sz w:val="24"/>
          <w:szCs w:val="24"/>
        </w:rPr>
        <w:t>2005-2015</w:t>
      </w:r>
    </w:p>
    <w:p w:rsidR="00671D29" w:rsidRPr="000C1533" w:rsidRDefault="00671D29" w:rsidP="00671D29">
      <w:pPr>
        <w:spacing w:after="0" w:line="360" w:lineRule="auto"/>
        <w:rPr>
          <w:b/>
        </w:rPr>
      </w:pPr>
      <w:r w:rsidRPr="000C1533">
        <w:rPr>
          <w:b/>
        </w:rPr>
        <w:t>Introduction</w:t>
      </w:r>
    </w:p>
    <w:p w:rsidR="002533FD" w:rsidRPr="002533FD" w:rsidRDefault="00DB0C1E" w:rsidP="002533FD">
      <w:r w:rsidRPr="000C1533">
        <w:t xml:space="preserve">Disasters are known to exact a heavy toll globally, however the degree to which we can accurately quantify their impact remains challenging. The Sendai Framework for Disaster Risk Reduction </w:t>
      </w:r>
      <w:r w:rsidR="00060143" w:rsidRPr="000C1533">
        <w:t>2005-2015 and 2020-2030)</w:t>
      </w:r>
      <w:r w:rsidRPr="000C1533">
        <w:t xml:space="preserve"> represents the first international effort to systematically measure the effectiveness of disaster-impact reduction through agreed indicators and targets. Target B of the Framework aims to “substantially reduce the number of affected people globally by 2030”.</w:t>
      </w:r>
      <w:r w:rsidR="00822AF6">
        <w:t xml:space="preserve"> This indicator is included in the SDGs </w:t>
      </w:r>
      <w:r w:rsidR="002533FD">
        <w:t xml:space="preserve">and the WHO </w:t>
      </w:r>
      <w:r w:rsidR="002533FD" w:rsidRPr="002533FD">
        <w:t>Global Reference List</w:t>
      </w:r>
      <w:r w:rsidR="002533FD">
        <w:t xml:space="preserve"> of 100 Core Health Indicators.</w:t>
      </w:r>
    </w:p>
    <w:p w:rsidR="00671D29" w:rsidRPr="000C1533" w:rsidRDefault="00D44219" w:rsidP="002533FD">
      <w:r w:rsidRPr="000C1533">
        <w:t>The purpose of this guidance note is to support Ministries of Health in the process of data collection and analysis of indicators to monitor progress and achievement against global Target B of the</w:t>
      </w:r>
      <w:r w:rsidR="000C1533">
        <w:t xml:space="preserve"> </w:t>
      </w:r>
      <w:r w:rsidRPr="000C1533">
        <w:t>Sendai Framework for Disaster Risk Reduction.</w:t>
      </w:r>
    </w:p>
    <w:p w:rsidR="008B171B" w:rsidRPr="000C1533" w:rsidRDefault="008B171B" w:rsidP="008B171B">
      <w:pPr>
        <w:pStyle w:val="ListParagraph"/>
        <w:numPr>
          <w:ilvl w:val="0"/>
          <w:numId w:val="1"/>
        </w:numPr>
        <w:spacing w:after="0" w:line="360" w:lineRule="auto"/>
        <w:ind w:left="426"/>
        <w:rPr>
          <w:b/>
        </w:rPr>
      </w:pPr>
      <w:r w:rsidRPr="000C1533">
        <w:rPr>
          <w:b/>
        </w:rPr>
        <w:t>Indicator</w:t>
      </w:r>
    </w:p>
    <w:p w:rsidR="00671D29" w:rsidRPr="000C1533" w:rsidRDefault="00671D29" w:rsidP="00671D29">
      <w:pPr>
        <w:spacing w:after="0"/>
        <w:rPr>
          <w:b/>
        </w:rPr>
      </w:pPr>
      <w:r w:rsidRPr="000C1533">
        <w:t>The following table lists the indicators recommended by the OIEWG for the measurement of global Target B of the Sendai Framework, and which were endorsed by the UN General Assembly in its Resolution A/RES/71/276</w:t>
      </w:r>
    </w:p>
    <w:tbl>
      <w:tblPr>
        <w:tblStyle w:val="MediumGrid3-Accent1"/>
        <w:tblW w:w="5000" w:type="pct"/>
        <w:tblLook w:val="0620" w:firstRow="1" w:lastRow="0" w:firstColumn="0" w:lastColumn="0" w:noHBand="1" w:noVBand="1"/>
      </w:tblPr>
      <w:tblGrid>
        <w:gridCol w:w="539"/>
        <w:gridCol w:w="5589"/>
        <w:gridCol w:w="1557"/>
        <w:gridCol w:w="1557"/>
      </w:tblGrid>
      <w:tr w:rsidR="00A33F46" w:rsidRPr="006F33FC" w:rsidTr="00A33F46">
        <w:trPr>
          <w:cnfStyle w:val="100000000000" w:firstRow="1" w:lastRow="0" w:firstColumn="0" w:lastColumn="0" w:oddVBand="0" w:evenVBand="0" w:oddHBand="0" w:evenHBand="0" w:firstRowFirstColumn="0" w:firstRowLastColumn="0" w:lastRowFirstColumn="0" w:lastRowLastColumn="0"/>
          <w:trHeight w:val="721"/>
        </w:trPr>
        <w:tc>
          <w:tcPr>
            <w:tcW w:w="256" w:type="pct"/>
            <w:vAlign w:val="center"/>
          </w:tcPr>
          <w:p w:rsidR="00A33F46" w:rsidRPr="006F33FC" w:rsidRDefault="00A33F46" w:rsidP="00673E59">
            <w:pPr>
              <w:autoSpaceDE w:val="0"/>
              <w:autoSpaceDN w:val="0"/>
              <w:adjustRightInd w:val="0"/>
              <w:jc w:val="center"/>
              <w:rPr>
                <w:rFonts w:cs="Arial"/>
                <w:bCs w:val="0"/>
                <w:color w:val="FFFFFF"/>
                <w:sz w:val="20"/>
              </w:rPr>
            </w:pPr>
            <w:r w:rsidRPr="006F33FC">
              <w:rPr>
                <w:rFonts w:cs="Arial"/>
                <w:bCs w:val="0"/>
                <w:color w:val="FFFFFF"/>
                <w:sz w:val="20"/>
              </w:rPr>
              <w:t>No.</w:t>
            </w:r>
          </w:p>
        </w:tc>
        <w:tc>
          <w:tcPr>
            <w:tcW w:w="3036" w:type="pct"/>
            <w:vAlign w:val="center"/>
          </w:tcPr>
          <w:p w:rsidR="00A33F46" w:rsidRPr="006F33FC" w:rsidRDefault="00A33F46" w:rsidP="00673E59">
            <w:pPr>
              <w:autoSpaceDE w:val="0"/>
              <w:autoSpaceDN w:val="0"/>
              <w:adjustRightInd w:val="0"/>
              <w:jc w:val="center"/>
              <w:rPr>
                <w:rFonts w:cs="Arial"/>
                <w:bCs w:val="0"/>
                <w:color w:val="FFFFFF"/>
                <w:sz w:val="20"/>
              </w:rPr>
            </w:pPr>
            <w:r w:rsidRPr="006F33FC">
              <w:rPr>
                <w:rFonts w:cs="Arial"/>
                <w:bCs w:val="0"/>
                <w:color w:val="FFFFFF"/>
                <w:sz w:val="20"/>
              </w:rPr>
              <w:t>Indicators for measurement at the global level</w:t>
            </w:r>
          </w:p>
        </w:tc>
        <w:tc>
          <w:tcPr>
            <w:tcW w:w="854" w:type="pct"/>
          </w:tcPr>
          <w:p w:rsidR="00A33F46" w:rsidRPr="006F33FC" w:rsidRDefault="00060143" w:rsidP="00060143">
            <w:pPr>
              <w:autoSpaceDE w:val="0"/>
              <w:autoSpaceDN w:val="0"/>
              <w:adjustRightInd w:val="0"/>
              <w:jc w:val="center"/>
              <w:rPr>
                <w:rFonts w:cs="Arial"/>
                <w:color w:val="FFFFFF"/>
                <w:sz w:val="20"/>
              </w:rPr>
            </w:pPr>
            <w:r>
              <w:rPr>
                <w:rFonts w:cs="Arial"/>
                <w:color w:val="FFFFFF"/>
                <w:sz w:val="20"/>
              </w:rPr>
              <w:t>Health Data Required from Ministries of Health</w:t>
            </w:r>
          </w:p>
        </w:tc>
        <w:tc>
          <w:tcPr>
            <w:tcW w:w="854" w:type="pct"/>
            <w:vAlign w:val="center"/>
          </w:tcPr>
          <w:p w:rsidR="00A33F46" w:rsidRPr="006F33FC" w:rsidRDefault="00A33F46" w:rsidP="00B77555">
            <w:pPr>
              <w:autoSpaceDE w:val="0"/>
              <w:autoSpaceDN w:val="0"/>
              <w:adjustRightInd w:val="0"/>
              <w:jc w:val="center"/>
              <w:rPr>
                <w:rFonts w:cs="Arial"/>
                <w:bCs w:val="0"/>
                <w:color w:val="FFFFFF"/>
                <w:sz w:val="20"/>
              </w:rPr>
            </w:pPr>
            <w:r w:rsidRPr="006F33FC">
              <w:rPr>
                <w:rFonts w:cs="Arial"/>
                <w:bCs w:val="0"/>
                <w:color w:val="FFFFFF"/>
                <w:sz w:val="20"/>
              </w:rPr>
              <w:t xml:space="preserve">Link to </w:t>
            </w:r>
            <w:r w:rsidR="00B77555">
              <w:rPr>
                <w:rFonts w:cs="Arial"/>
                <w:bCs w:val="0"/>
                <w:color w:val="FFFFFF"/>
                <w:sz w:val="20"/>
              </w:rPr>
              <w:t>SDG Indicators</w:t>
            </w:r>
          </w:p>
        </w:tc>
      </w:tr>
      <w:tr w:rsidR="00A33F46" w:rsidRPr="006F33FC" w:rsidTr="00A33F46">
        <w:trPr>
          <w:trHeight w:val="721"/>
        </w:trPr>
        <w:tc>
          <w:tcPr>
            <w:tcW w:w="256" w:type="pct"/>
            <w:vAlign w:val="center"/>
          </w:tcPr>
          <w:p w:rsidR="00A33F46" w:rsidRPr="00671D29" w:rsidRDefault="00A33F46" w:rsidP="00671D29">
            <w:pPr>
              <w:autoSpaceDE w:val="0"/>
              <w:autoSpaceDN w:val="0"/>
              <w:adjustRightInd w:val="0"/>
              <w:jc w:val="center"/>
              <w:rPr>
                <w:rFonts w:cs="Arial"/>
                <w:b/>
                <w:color w:val="000000"/>
                <w:sz w:val="20"/>
              </w:rPr>
            </w:pPr>
            <w:r>
              <w:rPr>
                <w:rFonts w:cs="Arial"/>
                <w:b/>
                <w:color w:val="000000"/>
                <w:sz w:val="20"/>
              </w:rPr>
              <w:t>B-1</w:t>
            </w:r>
          </w:p>
        </w:tc>
        <w:tc>
          <w:tcPr>
            <w:tcW w:w="3036" w:type="pct"/>
            <w:vAlign w:val="center"/>
          </w:tcPr>
          <w:p w:rsidR="00A33F46" w:rsidRPr="000C1533" w:rsidRDefault="00A33F46" w:rsidP="00671D29">
            <w:pPr>
              <w:autoSpaceDE w:val="0"/>
              <w:autoSpaceDN w:val="0"/>
              <w:adjustRightInd w:val="0"/>
              <w:rPr>
                <w:rFonts w:cs="Arial"/>
                <w:color w:val="000000"/>
              </w:rPr>
            </w:pPr>
            <w:r w:rsidRPr="000C1533">
              <w:t>Number of directly affected people attributed to disasters, per 100,000 population.</w:t>
            </w:r>
          </w:p>
        </w:tc>
        <w:tc>
          <w:tcPr>
            <w:tcW w:w="854" w:type="pct"/>
            <w:vAlign w:val="center"/>
          </w:tcPr>
          <w:p w:rsidR="00A33F46" w:rsidRPr="000C1533" w:rsidRDefault="00A33F46" w:rsidP="00A33F46">
            <w:pPr>
              <w:autoSpaceDE w:val="0"/>
              <w:autoSpaceDN w:val="0"/>
              <w:adjustRightInd w:val="0"/>
              <w:jc w:val="center"/>
              <w:rPr>
                <w:rFonts w:cs="Arial"/>
                <w:color w:val="000000"/>
              </w:rPr>
            </w:pPr>
            <w:r w:rsidRPr="000C1533">
              <w:rPr>
                <w:rFonts w:cs="Arial"/>
                <w:color w:val="000000"/>
              </w:rPr>
              <w:t>Yes</w:t>
            </w:r>
          </w:p>
        </w:tc>
        <w:tc>
          <w:tcPr>
            <w:tcW w:w="854" w:type="pct"/>
            <w:vAlign w:val="center"/>
          </w:tcPr>
          <w:p w:rsidR="00A33F46" w:rsidRPr="006F33FC" w:rsidRDefault="00B77555" w:rsidP="00671D29">
            <w:pPr>
              <w:autoSpaceDE w:val="0"/>
              <w:autoSpaceDN w:val="0"/>
              <w:adjustRightInd w:val="0"/>
              <w:jc w:val="center"/>
              <w:rPr>
                <w:rFonts w:cs="Arial"/>
                <w:color w:val="000000"/>
                <w:sz w:val="20"/>
              </w:rPr>
            </w:pPr>
            <w:r>
              <w:rPr>
                <w:rFonts w:cs="Arial"/>
                <w:color w:val="000000"/>
                <w:sz w:val="20"/>
              </w:rPr>
              <w:t>1.5, 13.1</w:t>
            </w:r>
          </w:p>
        </w:tc>
      </w:tr>
      <w:tr w:rsidR="00A33F46" w:rsidRPr="006F33FC" w:rsidTr="00A33F46">
        <w:trPr>
          <w:trHeight w:val="721"/>
        </w:trPr>
        <w:tc>
          <w:tcPr>
            <w:tcW w:w="256" w:type="pct"/>
            <w:vAlign w:val="center"/>
          </w:tcPr>
          <w:p w:rsidR="00A33F46" w:rsidRPr="00671D29" w:rsidRDefault="00A33F46" w:rsidP="00671D29">
            <w:pPr>
              <w:autoSpaceDE w:val="0"/>
              <w:autoSpaceDN w:val="0"/>
              <w:adjustRightInd w:val="0"/>
              <w:jc w:val="center"/>
              <w:rPr>
                <w:rFonts w:cs="Arial"/>
                <w:b/>
                <w:color w:val="000000"/>
                <w:sz w:val="20"/>
              </w:rPr>
            </w:pPr>
            <w:r>
              <w:rPr>
                <w:rFonts w:cs="Arial"/>
                <w:b/>
                <w:color w:val="000000"/>
                <w:sz w:val="20"/>
              </w:rPr>
              <w:t>B-2</w:t>
            </w:r>
          </w:p>
        </w:tc>
        <w:tc>
          <w:tcPr>
            <w:tcW w:w="3036" w:type="pct"/>
            <w:vAlign w:val="center"/>
          </w:tcPr>
          <w:p w:rsidR="00A33F46" w:rsidRPr="000C1533" w:rsidRDefault="00A33F46" w:rsidP="00671D29">
            <w:pPr>
              <w:autoSpaceDE w:val="0"/>
              <w:autoSpaceDN w:val="0"/>
              <w:adjustRightInd w:val="0"/>
              <w:rPr>
                <w:rFonts w:cs="Arial"/>
                <w:color w:val="000000"/>
              </w:rPr>
            </w:pPr>
            <w:r w:rsidRPr="000C1533">
              <w:t>Number of injured or ill people attributed to disasters, per 100,000 population.</w:t>
            </w:r>
          </w:p>
        </w:tc>
        <w:tc>
          <w:tcPr>
            <w:tcW w:w="854" w:type="pct"/>
            <w:vAlign w:val="center"/>
          </w:tcPr>
          <w:p w:rsidR="00A33F46" w:rsidRPr="000C1533" w:rsidRDefault="00A33F46" w:rsidP="00A33F46">
            <w:pPr>
              <w:autoSpaceDE w:val="0"/>
              <w:autoSpaceDN w:val="0"/>
              <w:adjustRightInd w:val="0"/>
              <w:jc w:val="center"/>
              <w:rPr>
                <w:rFonts w:cs="Arial"/>
                <w:color w:val="000000"/>
              </w:rPr>
            </w:pPr>
            <w:r w:rsidRPr="000C1533">
              <w:rPr>
                <w:rFonts w:cs="Arial"/>
                <w:color w:val="000000"/>
              </w:rPr>
              <w:t>Yes</w:t>
            </w:r>
          </w:p>
        </w:tc>
        <w:tc>
          <w:tcPr>
            <w:tcW w:w="854" w:type="pct"/>
            <w:vAlign w:val="center"/>
          </w:tcPr>
          <w:p w:rsidR="00A33F46" w:rsidRPr="006F33FC" w:rsidRDefault="00B77555" w:rsidP="00671D29">
            <w:pPr>
              <w:autoSpaceDE w:val="0"/>
              <w:autoSpaceDN w:val="0"/>
              <w:adjustRightInd w:val="0"/>
              <w:jc w:val="center"/>
              <w:rPr>
                <w:rFonts w:cs="Arial"/>
                <w:color w:val="000000"/>
                <w:sz w:val="20"/>
              </w:rPr>
            </w:pPr>
            <w:r>
              <w:rPr>
                <w:rFonts w:cs="Arial"/>
                <w:color w:val="000000"/>
                <w:sz w:val="20"/>
              </w:rPr>
              <w:t>3.3</w:t>
            </w:r>
          </w:p>
        </w:tc>
      </w:tr>
      <w:tr w:rsidR="00A33F46" w:rsidRPr="006F33FC" w:rsidTr="00A33F46">
        <w:trPr>
          <w:trHeight w:val="721"/>
        </w:trPr>
        <w:tc>
          <w:tcPr>
            <w:tcW w:w="256" w:type="pct"/>
            <w:vAlign w:val="center"/>
          </w:tcPr>
          <w:p w:rsidR="00A33F46" w:rsidRPr="00671D29" w:rsidRDefault="00A33F46" w:rsidP="00671D29">
            <w:pPr>
              <w:autoSpaceDE w:val="0"/>
              <w:autoSpaceDN w:val="0"/>
              <w:adjustRightInd w:val="0"/>
              <w:jc w:val="center"/>
              <w:rPr>
                <w:rFonts w:cs="Arial"/>
                <w:b/>
                <w:color w:val="000000"/>
                <w:sz w:val="20"/>
              </w:rPr>
            </w:pPr>
            <w:r>
              <w:rPr>
                <w:rFonts w:cs="Arial"/>
                <w:b/>
                <w:color w:val="000000"/>
                <w:sz w:val="20"/>
              </w:rPr>
              <w:t>B-3</w:t>
            </w:r>
          </w:p>
        </w:tc>
        <w:tc>
          <w:tcPr>
            <w:tcW w:w="3036" w:type="pct"/>
            <w:vAlign w:val="center"/>
          </w:tcPr>
          <w:p w:rsidR="00A33F46" w:rsidRPr="000C1533" w:rsidRDefault="00A33F46" w:rsidP="00671D29">
            <w:pPr>
              <w:autoSpaceDE w:val="0"/>
              <w:autoSpaceDN w:val="0"/>
              <w:adjustRightInd w:val="0"/>
              <w:rPr>
                <w:rFonts w:cs="Arial"/>
                <w:color w:val="000000"/>
              </w:rPr>
            </w:pPr>
            <w:r w:rsidRPr="000C1533">
              <w:t>Number of people whose damaged dwellings were attributed to disasters.</w:t>
            </w:r>
          </w:p>
        </w:tc>
        <w:tc>
          <w:tcPr>
            <w:tcW w:w="854" w:type="pct"/>
            <w:vAlign w:val="center"/>
          </w:tcPr>
          <w:p w:rsidR="00A33F46" w:rsidRPr="000C1533" w:rsidRDefault="00607584" w:rsidP="00A33F46">
            <w:pPr>
              <w:autoSpaceDE w:val="0"/>
              <w:autoSpaceDN w:val="0"/>
              <w:adjustRightInd w:val="0"/>
              <w:jc w:val="center"/>
              <w:rPr>
                <w:rFonts w:cs="Arial"/>
                <w:color w:val="000000"/>
              </w:rPr>
            </w:pPr>
            <w:r w:rsidRPr="000C1533">
              <w:rPr>
                <w:rFonts w:cs="Arial"/>
                <w:color w:val="000000"/>
              </w:rPr>
              <w:t>No</w:t>
            </w:r>
          </w:p>
        </w:tc>
        <w:tc>
          <w:tcPr>
            <w:tcW w:w="854" w:type="pct"/>
            <w:vAlign w:val="center"/>
          </w:tcPr>
          <w:p w:rsidR="00A33F46" w:rsidRPr="006F33FC" w:rsidRDefault="00A33F46" w:rsidP="00671D29">
            <w:pPr>
              <w:autoSpaceDE w:val="0"/>
              <w:autoSpaceDN w:val="0"/>
              <w:adjustRightInd w:val="0"/>
              <w:jc w:val="center"/>
              <w:rPr>
                <w:rFonts w:cs="Arial"/>
                <w:color w:val="000000"/>
                <w:sz w:val="20"/>
              </w:rPr>
            </w:pPr>
          </w:p>
        </w:tc>
      </w:tr>
      <w:tr w:rsidR="00A33F46" w:rsidRPr="006F33FC" w:rsidTr="00A33F46">
        <w:trPr>
          <w:trHeight w:val="721"/>
        </w:trPr>
        <w:tc>
          <w:tcPr>
            <w:tcW w:w="256" w:type="pct"/>
            <w:vAlign w:val="center"/>
          </w:tcPr>
          <w:p w:rsidR="00A33F46" w:rsidRPr="00671D29" w:rsidRDefault="00A33F46" w:rsidP="00671D29">
            <w:pPr>
              <w:autoSpaceDE w:val="0"/>
              <w:autoSpaceDN w:val="0"/>
              <w:adjustRightInd w:val="0"/>
              <w:jc w:val="center"/>
              <w:rPr>
                <w:rFonts w:cs="Arial"/>
                <w:b/>
                <w:color w:val="000000"/>
                <w:sz w:val="20"/>
              </w:rPr>
            </w:pPr>
            <w:r>
              <w:rPr>
                <w:rFonts w:cs="Arial"/>
                <w:b/>
                <w:color w:val="000000"/>
                <w:sz w:val="20"/>
              </w:rPr>
              <w:t>B-4</w:t>
            </w:r>
          </w:p>
        </w:tc>
        <w:tc>
          <w:tcPr>
            <w:tcW w:w="3036" w:type="pct"/>
            <w:vAlign w:val="center"/>
          </w:tcPr>
          <w:p w:rsidR="00A33F46" w:rsidRPr="000C1533" w:rsidRDefault="00A33F46" w:rsidP="00671D29">
            <w:pPr>
              <w:autoSpaceDE w:val="0"/>
              <w:autoSpaceDN w:val="0"/>
              <w:adjustRightInd w:val="0"/>
              <w:rPr>
                <w:rFonts w:cs="Arial"/>
                <w:color w:val="000000"/>
              </w:rPr>
            </w:pPr>
            <w:r w:rsidRPr="000C1533">
              <w:t>Number of people whose destroyed dwellings were attributed to disasters.</w:t>
            </w:r>
          </w:p>
        </w:tc>
        <w:tc>
          <w:tcPr>
            <w:tcW w:w="854" w:type="pct"/>
            <w:vAlign w:val="center"/>
          </w:tcPr>
          <w:p w:rsidR="00A33F46" w:rsidRPr="000C1533" w:rsidRDefault="00A33F46" w:rsidP="00607584">
            <w:pPr>
              <w:autoSpaceDE w:val="0"/>
              <w:autoSpaceDN w:val="0"/>
              <w:adjustRightInd w:val="0"/>
              <w:jc w:val="center"/>
              <w:rPr>
                <w:rFonts w:cs="Arial"/>
                <w:color w:val="000000"/>
              </w:rPr>
            </w:pPr>
            <w:r w:rsidRPr="000C1533">
              <w:rPr>
                <w:rFonts w:cs="Arial"/>
                <w:color w:val="000000"/>
              </w:rPr>
              <w:t>No</w:t>
            </w:r>
          </w:p>
        </w:tc>
        <w:tc>
          <w:tcPr>
            <w:tcW w:w="854" w:type="pct"/>
            <w:vAlign w:val="center"/>
          </w:tcPr>
          <w:p w:rsidR="00A33F46" w:rsidRPr="006F33FC" w:rsidRDefault="00A33F46" w:rsidP="00671D29">
            <w:pPr>
              <w:autoSpaceDE w:val="0"/>
              <w:autoSpaceDN w:val="0"/>
              <w:adjustRightInd w:val="0"/>
              <w:jc w:val="center"/>
              <w:rPr>
                <w:rFonts w:cs="Arial"/>
                <w:color w:val="000000"/>
                <w:sz w:val="20"/>
              </w:rPr>
            </w:pPr>
          </w:p>
        </w:tc>
      </w:tr>
      <w:tr w:rsidR="00A33F46" w:rsidRPr="006F33FC" w:rsidTr="00A33F46">
        <w:trPr>
          <w:trHeight w:val="721"/>
        </w:trPr>
        <w:tc>
          <w:tcPr>
            <w:tcW w:w="256" w:type="pct"/>
            <w:vAlign w:val="center"/>
          </w:tcPr>
          <w:p w:rsidR="00A33F46" w:rsidRPr="00671D29" w:rsidRDefault="00A33F46" w:rsidP="00671D29">
            <w:pPr>
              <w:autoSpaceDE w:val="0"/>
              <w:autoSpaceDN w:val="0"/>
              <w:adjustRightInd w:val="0"/>
              <w:jc w:val="center"/>
              <w:rPr>
                <w:rFonts w:cs="Arial"/>
                <w:b/>
                <w:bCs/>
                <w:color w:val="000000"/>
                <w:sz w:val="20"/>
              </w:rPr>
            </w:pPr>
            <w:r>
              <w:rPr>
                <w:rFonts w:cs="Arial"/>
                <w:b/>
                <w:bCs/>
                <w:color w:val="000000"/>
                <w:sz w:val="20"/>
              </w:rPr>
              <w:t>B-5</w:t>
            </w:r>
          </w:p>
        </w:tc>
        <w:tc>
          <w:tcPr>
            <w:tcW w:w="3036" w:type="pct"/>
            <w:vAlign w:val="center"/>
          </w:tcPr>
          <w:p w:rsidR="00A33F46" w:rsidRPr="000C1533" w:rsidRDefault="00A33F46" w:rsidP="00671D29">
            <w:pPr>
              <w:autoSpaceDE w:val="0"/>
              <w:autoSpaceDN w:val="0"/>
              <w:adjustRightInd w:val="0"/>
              <w:rPr>
                <w:rFonts w:cs="Arial"/>
                <w:bCs/>
                <w:color w:val="000000"/>
              </w:rPr>
            </w:pPr>
            <w:r w:rsidRPr="000C1533">
              <w:t>Number of people whose livelihoods were disrupted or destroyed, attributed to disasters</w:t>
            </w:r>
          </w:p>
        </w:tc>
        <w:tc>
          <w:tcPr>
            <w:tcW w:w="854" w:type="pct"/>
            <w:vAlign w:val="center"/>
          </w:tcPr>
          <w:p w:rsidR="00A33F46" w:rsidRPr="000C1533" w:rsidRDefault="00A33F46" w:rsidP="00607584">
            <w:pPr>
              <w:autoSpaceDE w:val="0"/>
              <w:autoSpaceDN w:val="0"/>
              <w:adjustRightInd w:val="0"/>
              <w:jc w:val="center"/>
              <w:rPr>
                <w:rFonts w:cs="Arial"/>
                <w:bCs/>
                <w:color w:val="000000"/>
              </w:rPr>
            </w:pPr>
            <w:r w:rsidRPr="000C1533">
              <w:rPr>
                <w:rFonts w:cs="Arial"/>
                <w:bCs/>
                <w:color w:val="000000"/>
              </w:rPr>
              <w:t>No</w:t>
            </w:r>
          </w:p>
        </w:tc>
        <w:tc>
          <w:tcPr>
            <w:tcW w:w="854" w:type="pct"/>
            <w:vAlign w:val="center"/>
          </w:tcPr>
          <w:p w:rsidR="00A33F46" w:rsidRPr="006F33FC" w:rsidRDefault="00A33F46" w:rsidP="00671D29">
            <w:pPr>
              <w:autoSpaceDE w:val="0"/>
              <w:autoSpaceDN w:val="0"/>
              <w:adjustRightInd w:val="0"/>
              <w:jc w:val="center"/>
              <w:rPr>
                <w:rFonts w:cs="Arial"/>
                <w:bCs/>
                <w:color w:val="000000"/>
                <w:sz w:val="20"/>
              </w:rPr>
            </w:pPr>
          </w:p>
        </w:tc>
      </w:tr>
    </w:tbl>
    <w:p w:rsidR="001335E7" w:rsidRDefault="001335E7" w:rsidP="001335E7">
      <w:pPr>
        <w:pStyle w:val="ListParagraph"/>
        <w:spacing w:after="0" w:line="360" w:lineRule="auto"/>
        <w:ind w:left="426"/>
        <w:rPr>
          <w:b/>
        </w:rPr>
      </w:pPr>
    </w:p>
    <w:p w:rsidR="00375E2D" w:rsidRDefault="001335E7" w:rsidP="00E70D5D">
      <w:pPr>
        <w:pStyle w:val="ListParagraph"/>
        <w:numPr>
          <w:ilvl w:val="0"/>
          <w:numId w:val="1"/>
        </w:numPr>
        <w:spacing w:after="0" w:line="360" w:lineRule="auto"/>
        <w:ind w:left="426"/>
        <w:rPr>
          <w:b/>
        </w:rPr>
      </w:pPr>
      <w:r>
        <w:rPr>
          <w:b/>
        </w:rPr>
        <w:t>Policy context</w:t>
      </w:r>
    </w:p>
    <w:tbl>
      <w:tblPr>
        <w:tblStyle w:val="MediumGrid3-Accent1"/>
        <w:tblW w:w="5008" w:type="pct"/>
        <w:tblLook w:val="0680" w:firstRow="0" w:lastRow="0" w:firstColumn="1" w:lastColumn="0" w:noHBand="1" w:noVBand="1"/>
      </w:tblPr>
      <w:tblGrid>
        <w:gridCol w:w="2453"/>
        <w:gridCol w:w="6804"/>
      </w:tblGrid>
      <w:tr w:rsidR="008B171B" w:rsidRPr="006F33FC" w:rsidTr="001335E7">
        <w:trPr>
          <w:trHeight w:val="886"/>
        </w:trPr>
        <w:tc>
          <w:tcPr>
            <w:cnfStyle w:val="001000000000" w:firstRow="0" w:lastRow="0" w:firstColumn="1" w:lastColumn="0" w:oddVBand="0" w:evenVBand="0" w:oddHBand="0" w:evenHBand="0" w:firstRowFirstColumn="0" w:firstRowLastColumn="0" w:lastRowFirstColumn="0" w:lastRowLastColumn="0"/>
            <w:tcW w:w="1325" w:type="pct"/>
            <w:vAlign w:val="center"/>
          </w:tcPr>
          <w:p w:rsidR="008B171B" w:rsidRDefault="008B171B" w:rsidP="00673E59">
            <w:pPr>
              <w:rPr>
                <w:sz w:val="20"/>
              </w:rPr>
            </w:pPr>
            <w:r>
              <w:rPr>
                <w:sz w:val="20"/>
              </w:rPr>
              <w:t>Why</w:t>
            </w:r>
            <w:r w:rsidR="00060143">
              <w:rPr>
                <w:sz w:val="20"/>
              </w:rPr>
              <w:t xml:space="preserve"> is this</w:t>
            </w:r>
            <w:r>
              <w:rPr>
                <w:sz w:val="20"/>
              </w:rPr>
              <w:t xml:space="preserve"> important</w:t>
            </w:r>
            <w:r w:rsidR="00060143">
              <w:rPr>
                <w:sz w:val="20"/>
              </w:rPr>
              <w:t>?</w:t>
            </w:r>
          </w:p>
        </w:tc>
        <w:tc>
          <w:tcPr>
            <w:tcW w:w="3675" w:type="pct"/>
            <w:vAlign w:val="center"/>
          </w:tcPr>
          <w:p w:rsidR="008B171B" w:rsidRPr="009F6DC1" w:rsidRDefault="00671D29" w:rsidP="00D44219">
            <w:pPr>
              <w:cnfStyle w:val="000000000000" w:firstRow="0" w:lastRow="0" w:firstColumn="0" w:lastColumn="0" w:oddVBand="0" w:evenVBand="0" w:oddHBand="0" w:evenHBand="0" w:firstRowFirstColumn="0" w:firstRowLastColumn="0" w:lastRowFirstColumn="0" w:lastRowLastColumn="0"/>
              <w:rPr>
                <w:sz w:val="20"/>
                <w:szCs w:val="20"/>
              </w:rPr>
            </w:pPr>
            <w:r w:rsidRPr="009F6DC1">
              <w:rPr>
                <w:sz w:val="20"/>
                <w:szCs w:val="20"/>
              </w:rPr>
              <w:t>People can be affected directly or indirectly</w:t>
            </w:r>
            <w:r w:rsidR="005B291A" w:rsidRPr="009F6DC1">
              <w:rPr>
                <w:sz w:val="20"/>
                <w:szCs w:val="20"/>
              </w:rPr>
              <w:t xml:space="preserve"> by hazardous events</w:t>
            </w:r>
            <w:r w:rsidRPr="009F6DC1">
              <w:rPr>
                <w:sz w:val="20"/>
                <w:szCs w:val="20"/>
              </w:rPr>
              <w:t>. Affected people may experience short-term or long-term consequences to their lives, livelihoods or health and in the economic, physical, social, cultural and environmental assets</w:t>
            </w:r>
            <w:r w:rsidRPr="009F6DC1">
              <w:rPr>
                <w:rStyle w:val="EndnoteReference"/>
                <w:sz w:val="20"/>
                <w:szCs w:val="20"/>
              </w:rPr>
              <w:endnoteReference w:id="1"/>
            </w:r>
            <w:r w:rsidRPr="009F6DC1">
              <w:rPr>
                <w:sz w:val="20"/>
                <w:szCs w:val="20"/>
              </w:rPr>
              <w:t>.</w:t>
            </w:r>
          </w:p>
          <w:p w:rsidR="00D44219" w:rsidRPr="009F6DC1" w:rsidRDefault="00D44219" w:rsidP="00D44219">
            <w:pPr>
              <w:cnfStyle w:val="000000000000" w:firstRow="0" w:lastRow="0" w:firstColumn="0" w:lastColumn="0" w:oddVBand="0" w:evenVBand="0" w:oddHBand="0" w:evenHBand="0" w:firstRowFirstColumn="0" w:firstRowLastColumn="0" w:lastRowFirstColumn="0" w:lastRowLastColumn="0"/>
              <w:rPr>
                <w:sz w:val="20"/>
                <w:szCs w:val="20"/>
              </w:rPr>
            </w:pPr>
          </w:p>
          <w:p w:rsidR="00F81054" w:rsidRPr="009F6DC1" w:rsidRDefault="00822AF6" w:rsidP="00822AF6">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9F6DC1">
              <w:rPr>
                <w:sz w:val="20"/>
                <w:szCs w:val="20"/>
              </w:rPr>
              <w:t>P</w:t>
            </w:r>
            <w:r w:rsidR="00F81054" w:rsidRPr="009F6DC1">
              <w:rPr>
                <w:sz w:val="20"/>
                <w:szCs w:val="20"/>
              </w:rPr>
              <w:t xml:space="preserve">rogress has been achieved in reducing disaster risk at local, national, regional and global levels by countries and other relevant stakeholders, </w:t>
            </w:r>
            <w:r w:rsidR="00F81054" w:rsidRPr="009F6DC1">
              <w:rPr>
                <w:sz w:val="20"/>
                <w:szCs w:val="20"/>
              </w:rPr>
              <w:lastRenderedPageBreak/>
              <w:t xml:space="preserve">leading to a decrease in number of people affected by some hazardous events. Despite this, hazardous events still have a considerable impact on many people’s lives and affect in the various ways. </w:t>
            </w:r>
          </w:p>
          <w:p w:rsidR="00D44219" w:rsidRPr="009F6DC1" w:rsidRDefault="00D44219" w:rsidP="00D44219">
            <w:pPr>
              <w:cnfStyle w:val="000000000000" w:firstRow="0" w:lastRow="0" w:firstColumn="0" w:lastColumn="0" w:oddVBand="0" w:evenVBand="0" w:oddHBand="0" w:evenHBand="0" w:firstRowFirstColumn="0" w:firstRowLastColumn="0" w:lastRowFirstColumn="0" w:lastRowLastColumn="0"/>
              <w:rPr>
                <w:sz w:val="20"/>
                <w:szCs w:val="20"/>
              </w:rPr>
            </w:pPr>
          </w:p>
        </w:tc>
      </w:tr>
      <w:tr w:rsidR="008B171B" w:rsidRPr="006F33FC" w:rsidTr="001335E7">
        <w:trPr>
          <w:trHeight w:val="886"/>
        </w:trPr>
        <w:tc>
          <w:tcPr>
            <w:cnfStyle w:val="001000000000" w:firstRow="0" w:lastRow="0" w:firstColumn="1" w:lastColumn="0" w:oddVBand="0" w:evenVBand="0" w:oddHBand="0" w:evenHBand="0" w:firstRowFirstColumn="0" w:firstRowLastColumn="0" w:lastRowFirstColumn="0" w:lastRowLastColumn="0"/>
            <w:tcW w:w="1325" w:type="pct"/>
            <w:vAlign w:val="center"/>
          </w:tcPr>
          <w:p w:rsidR="001335E7" w:rsidRPr="00292258" w:rsidRDefault="008B171B" w:rsidP="00292258">
            <w:pPr>
              <w:rPr>
                <w:sz w:val="20"/>
              </w:rPr>
            </w:pPr>
            <w:r>
              <w:rPr>
                <w:sz w:val="20"/>
              </w:rPr>
              <w:lastRenderedPageBreak/>
              <w:t>Issues/ challenges</w:t>
            </w:r>
          </w:p>
        </w:tc>
        <w:tc>
          <w:tcPr>
            <w:tcW w:w="3675" w:type="pct"/>
            <w:vAlign w:val="center"/>
          </w:tcPr>
          <w:p w:rsidR="00D44219" w:rsidRPr="009F6DC1" w:rsidRDefault="00D44219" w:rsidP="00D442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9F6DC1">
              <w:rPr>
                <w:rFonts w:cs="Arial"/>
                <w:bCs/>
                <w:sz w:val="20"/>
                <w:szCs w:val="20"/>
              </w:rPr>
              <w:t>Given the large number of variables eligible for consideration in ‘Affected’, it is important to emphasize that no single indicator will provide an absolutely precise, accurate and exhaustive measure of affected population.</w:t>
            </w:r>
          </w:p>
          <w:p w:rsidR="00F81054" w:rsidRPr="009F6DC1" w:rsidRDefault="00F81054" w:rsidP="00D442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p>
          <w:p w:rsidR="00F81054" w:rsidRPr="009F6DC1" w:rsidRDefault="00F81054" w:rsidP="00D442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9F6DC1">
              <w:rPr>
                <w:sz w:val="20"/>
                <w:szCs w:val="20"/>
              </w:rPr>
              <w:t>Ministries of Health have a key role to play in ensuring the accurate reporting of data regarding people affected by a hazardous event.</w:t>
            </w:r>
          </w:p>
          <w:p w:rsidR="00D44219" w:rsidRPr="009F6DC1" w:rsidRDefault="00D44219" w:rsidP="00D442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p>
          <w:p w:rsidR="00292258" w:rsidRPr="009F6DC1" w:rsidRDefault="00292258" w:rsidP="00D442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9F6DC1">
              <w:rPr>
                <w:rFonts w:cs="Arial"/>
                <w:bCs/>
                <w:sz w:val="20"/>
                <w:szCs w:val="20"/>
              </w:rPr>
              <w:t>As stated in the Report of the OIEWG (A/71/644), countries may choose to use a national methodology or other methods of measurement and calculation to measure the number of affected, including those injured or ill attributed to disasters, given the variation in data collection processes around the world. Countries should keep the metadata consistent if the methodology is changed.</w:t>
            </w:r>
          </w:p>
          <w:p w:rsidR="00292258" w:rsidRPr="009F6DC1" w:rsidRDefault="00292258" w:rsidP="00D442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9F6DC1">
              <w:rPr>
                <w:rFonts w:cs="Arial"/>
                <w:bCs/>
                <w:sz w:val="20"/>
                <w:szCs w:val="20"/>
              </w:rPr>
              <w:t xml:space="preserve">However, countries should consider how the following challenges are addressed: </w:t>
            </w:r>
          </w:p>
          <w:p w:rsidR="00292258" w:rsidRPr="009F6DC1" w:rsidRDefault="00292258" w:rsidP="00D442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9F6DC1">
              <w:rPr>
                <w:rFonts w:cs="Arial"/>
                <w:bCs/>
                <w:sz w:val="20"/>
                <w:szCs w:val="20"/>
              </w:rPr>
              <w:br/>
            </w:r>
          </w:p>
          <w:p w:rsidR="00292258" w:rsidRPr="009F6DC1" w:rsidRDefault="00292258" w:rsidP="00D442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9F6DC1">
              <w:rPr>
                <w:rFonts w:cs="Arial"/>
                <w:b/>
                <w:bCs/>
                <w:sz w:val="20"/>
                <w:szCs w:val="20"/>
              </w:rPr>
              <w:t xml:space="preserve">- Location: </w:t>
            </w:r>
            <w:r w:rsidRPr="009F6DC1">
              <w:rPr>
                <w:rFonts w:cs="Arial"/>
                <w:bCs/>
                <w:sz w:val="20"/>
                <w:szCs w:val="20"/>
              </w:rPr>
              <w:t>Each injured or ill person should be counted in the country where the injury or illness case occurred, regardless of the nationality of the affected person.</w:t>
            </w:r>
            <w:r w:rsidRPr="009F6DC1">
              <w:rPr>
                <w:rFonts w:cs="Arial"/>
                <w:bCs/>
                <w:sz w:val="20"/>
                <w:szCs w:val="20"/>
              </w:rPr>
              <w:br/>
            </w:r>
          </w:p>
          <w:p w:rsidR="00292258" w:rsidRPr="009F6DC1" w:rsidRDefault="00292258" w:rsidP="00D4421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9F6DC1">
              <w:rPr>
                <w:rFonts w:cs="Arial"/>
                <w:b/>
                <w:bCs/>
                <w:sz w:val="20"/>
                <w:szCs w:val="20"/>
              </w:rPr>
              <w:t xml:space="preserve">- </w:t>
            </w:r>
            <w:r w:rsidRPr="009F6DC1">
              <w:rPr>
                <w:b/>
                <w:sz w:val="20"/>
                <w:szCs w:val="20"/>
              </w:rPr>
              <w:t xml:space="preserve">Disaggregation by Disability: </w:t>
            </w:r>
            <w:r w:rsidRPr="009F6DC1">
              <w:rPr>
                <w:sz w:val="20"/>
                <w:szCs w:val="20"/>
              </w:rPr>
              <w:t>Refers to “pre-event disability”.</w:t>
            </w:r>
            <w:r w:rsidRPr="009F6DC1">
              <w:rPr>
                <w:sz w:val="20"/>
                <w:szCs w:val="20"/>
              </w:rPr>
              <w:br/>
            </w:r>
          </w:p>
          <w:p w:rsidR="00292258" w:rsidRPr="009F6DC1" w:rsidRDefault="00292258" w:rsidP="00822AF6">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9F6DC1">
              <w:rPr>
                <w:b/>
                <w:sz w:val="20"/>
                <w:szCs w:val="20"/>
              </w:rPr>
              <w:t xml:space="preserve">- Attribution to a disaster: </w:t>
            </w:r>
            <w:r w:rsidRPr="009F6DC1">
              <w:rPr>
                <w:sz w:val="20"/>
                <w:szCs w:val="20"/>
              </w:rPr>
              <w:t>As per overview</w:t>
            </w:r>
            <w:r w:rsidR="00822AF6" w:rsidRPr="009F6DC1">
              <w:rPr>
                <w:sz w:val="20"/>
                <w:szCs w:val="20"/>
              </w:rPr>
              <w:t>. – including direct and indirect attribution.</w:t>
            </w:r>
            <w:r w:rsidRPr="009F6DC1">
              <w:rPr>
                <w:sz w:val="20"/>
                <w:szCs w:val="20"/>
              </w:rPr>
              <w:br/>
            </w:r>
          </w:p>
          <w:p w:rsidR="00292258" w:rsidRPr="009F6DC1" w:rsidRDefault="00292258" w:rsidP="00D44219">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sz w:val="20"/>
                <w:szCs w:val="20"/>
              </w:rPr>
            </w:pPr>
            <w:r w:rsidRPr="009F6DC1">
              <w:rPr>
                <w:b/>
                <w:sz w:val="20"/>
                <w:szCs w:val="20"/>
              </w:rPr>
              <w:t xml:space="preserve">- The type of hazard associated to a disaster: </w:t>
            </w:r>
            <w:r w:rsidRPr="009F6DC1">
              <w:rPr>
                <w:sz w:val="20"/>
                <w:szCs w:val="20"/>
              </w:rPr>
              <w:t>Is likely to affect the method of attribution of injury and illness to the event. I</w:t>
            </w:r>
            <w:r w:rsidR="008743BC" w:rsidRPr="009F6DC1">
              <w:rPr>
                <w:sz w:val="20"/>
                <w:szCs w:val="20"/>
              </w:rPr>
              <w:t>t is recommended to focus on</w:t>
            </w:r>
            <w:r w:rsidRPr="009F6DC1">
              <w:rPr>
                <w:sz w:val="20"/>
                <w:szCs w:val="20"/>
              </w:rPr>
              <w:t xml:space="preserve"> direct causes of injury and illness cases which are more feasible to attribute, collect and report.</w:t>
            </w:r>
            <w:r w:rsidRPr="009F6DC1">
              <w:rPr>
                <w:sz w:val="20"/>
                <w:szCs w:val="20"/>
              </w:rPr>
              <w:br/>
            </w:r>
          </w:p>
          <w:p w:rsidR="00292258" w:rsidRPr="009F6DC1" w:rsidRDefault="00292258" w:rsidP="00D4421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9F6DC1">
              <w:rPr>
                <w:b/>
                <w:sz w:val="20"/>
                <w:szCs w:val="20"/>
              </w:rPr>
              <w:t xml:space="preserve">- Temporal aspects for attribution and cut-off: </w:t>
            </w:r>
            <w:r w:rsidRPr="009F6DC1">
              <w:rPr>
                <w:sz w:val="20"/>
                <w:szCs w:val="20"/>
              </w:rPr>
              <w:t>As per overview</w:t>
            </w:r>
            <w:r w:rsidRPr="009F6DC1">
              <w:rPr>
                <w:sz w:val="20"/>
                <w:szCs w:val="20"/>
              </w:rPr>
              <w:br/>
            </w:r>
          </w:p>
          <w:p w:rsidR="00292258" w:rsidRPr="009F6DC1" w:rsidRDefault="00292258" w:rsidP="00D4421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9F6DC1">
              <w:rPr>
                <w:b/>
                <w:sz w:val="20"/>
                <w:szCs w:val="20"/>
              </w:rPr>
              <w:t xml:space="preserve">- Biological Hazards: </w:t>
            </w:r>
            <w:r w:rsidRPr="009F6DC1">
              <w:rPr>
                <w:sz w:val="20"/>
                <w:szCs w:val="20"/>
              </w:rPr>
              <w:t>An “event” is determined when the number</w:t>
            </w:r>
          </w:p>
          <w:p w:rsidR="00292258" w:rsidRPr="009F6DC1" w:rsidRDefault="00292258" w:rsidP="00D4421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9F6DC1">
              <w:rPr>
                <w:sz w:val="20"/>
                <w:szCs w:val="20"/>
              </w:rPr>
              <w:t>of cases exceeds the agreed threshold of cases for the hazard (often context specific). Illnesses  must meet case definition for the disease, and the end date is when the outbreak is declared over.</w:t>
            </w:r>
            <w:r w:rsidR="00A33F46" w:rsidRPr="009F6DC1">
              <w:rPr>
                <w:sz w:val="20"/>
                <w:szCs w:val="20"/>
              </w:rPr>
              <w:t xml:space="preserve"> Countries will have to define which biological hazards should be included</w:t>
            </w:r>
            <w:r w:rsidR="00822AF6" w:rsidRPr="009F6DC1">
              <w:rPr>
                <w:sz w:val="20"/>
                <w:szCs w:val="20"/>
              </w:rPr>
              <w:t xml:space="preserve"> monitored and reported over time</w:t>
            </w:r>
            <w:r w:rsidR="00A33F46" w:rsidRPr="009F6DC1">
              <w:rPr>
                <w:sz w:val="20"/>
                <w:szCs w:val="20"/>
              </w:rPr>
              <w:t>, focusing on those biological hazards which have the potential to cause emergencies and disasters.</w:t>
            </w:r>
            <w:r w:rsidRPr="009F6DC1">
              <w:rPr>
                <w:sz w:val="20"/>
                <w:szCs w:val="20"/>
              </w:rPr>
              <w:br/>
            </w:r>
          </w:p>
          <w:p w:rsidR="00292258" w:rsidRPr="009F6DC1" w:rsidRDefault="00292258" w:rsidP="00D4421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9F6DC1">
              <w:rPr>
                <w:b/>
                <w:sz w:val="20"/>
                <w:szCs w:val="20"/>
              </w:rPr>
              <w:t xml:space="preserve">- Types of Hazard: </w:t>
            </w:r>
            <w:r w:rsidR="00822AF6" w:rsidRPr="009F6DC1">
              <w:rPr>
                <w:sz w:val="20"/>
                <w:szCs w:val="20"/>
              </w:rPr>
              <w:t>H</w:t>
            </w:r>
            <w:r w:rsidR="00A33F46" w:rsidRPr="009F6DC1">
              <w:rPr>
                <w:sz w:val="20"/>
                <w:szCs w:val="20"/>
              </w:rPr>
              <w:t>azard</w:t>
            </w:r>
            <w:r w:rsidR="00895716" w:rsidRPr="009F6DC1">
              <w:rPr>
                <w:sz w:val="20"/>
                <w:szCs w:val="20"/>
              </w:rPr>
              <w:t>s</w:t>
            </w:r>
            <w:r w:rsidR="00A33F46" w:rsidRPr="009F6DC1">
              <w:rPr>
                <w:sz w:val="20"/>
                <w:szCs w:val="20"/>
              </w:rPr>
              <w:t xml:space="preserve"> </w:t>
            </w:r>
            <w:r w:rsidR="00822AF6" w:rsidRPr="009F6DC1">
              <w:rPr>
                <w:sz w:val="20"/>
                <w:szCs w:val="20"/>
              </w:rPr>
              <w:t xml:space="preserve">within the scope of the Sendai Framework </w:t>
            </w:r>
            <w:r w:rsidR="00A33F46" w:rsidRPr="009F6DC1">
              <w:rPr>
                <w:sz w:val="20"/>
                <w:szCs w:val="20"/>
              </w:rPr>
              <w:t>should be covered in this target</w:t>
            </w:r>
            <w:r w:rsidR="00822AF6" w:rsidRPr="009F6DC1">
              <w:rPr>
                <w:sz w:val="20"/>
                <w:szCs w:val="20"/>
              </w:rPr>
              <w:t xml:space="preserve"> for Sendai Framework reporting</w:t>
            </w:r>
            <w:r w:rsidR="00A33F46" w:rsidRPr="009F6DC1">
              <w:rPr>
                <w:sz w:val="20"/>
                <w:szCs w:val="20"/>
              </w:rPr>
              <w:t>.</w:t>
            </w:r>
            <w:r w:rsidR="00895716" w:rsidRPr="009F6DC1">
              <w:rPr>
                <w:sz w:val="20"/>
                <w:szCs w:val="20"/>
              </w:rPr>
              <w:t xml:space="preserve"> </w:t>
            </w:r>
            <w:r w:rsidR="00822AF6" w:rsidRPr="009F6DC1">
              <w:rPr>
                <w:sz w:val="20"/>
                <w:szCs w:val="20"/>
              </w:rPr>
              <w:t xml:space="preserve">Customizable indicators should consider all types of hazards. </w:t>
            </w:r>
            <w:r w:rsidR="00895716" w:rsidRPr="009F6DC1">
              <w:rPr>
                <w:sz w:val="20"/>
                <w:szCs w:val="20"/>
              </w:rPr>
              <w:t>For full details of hazards, see overview.</w:t>
            </w:r>
          </w:p>
          <w:p w:rsidR="00822AF6" w:rsidRPr="009F6DC1" w:rsidRDefault="00822AF6" w:rsidP="00D4421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p w:rsidR="00822AF6" w:rsidRPr="009F6DC1" w:rsidRDefault="00822AF6" w:rsidP="00822AF6">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sz w:val="20"/>
                <w:szCs w:val="20"/>
              </w:rPr>
            </w:pPr>
            <w:r w:rsidRPr="009F6DC1">
              <w:rPr>
                <w:b/>
                <w:sz w:val="20"/>
                <w:szCs w:val="20"/>
              </w:rPr>
              <w:t xml:space="preserve">- Scale of hazardous events. </w:t>
            </w:r>
            <w:r w:rsidRPr="009F6DC1">
              <w:rPr>
                <w:bCs/>
                <w:sz w:val="20"/>
                <w:szCs w:val="20"/>
              </w:rPr>
              <w:t xml:space="preserve">All deaths associated with different scales of hazardous events, including emergencies and </w:t>
            </w:r>
            <w:proofErr w:type="spellStart"/>
            <w:r w:rsidRPr="009F6DC1">
              <w:rPr>
                <w:bCs/>
                <w:sz w:val="20"/>
                <w:szCs w:val="20"/>
              </w:rPr>
              <w:t>disasters,should</w:t>
            </w:r>
            <w:proofErr w:type="spellEnd"/>
            <w:r w:rsidRPr="009F6DC1">
              <w:rPr>
                <w:bCs/>
                <w:sz w:val="20"/>
                <w:szCs w:val="20"/>
              </w:rPr>
              <w:t xml:space="preserve"> be covered</w:t>
            </w:r>
          </w:p>
          <w:p w:rsidR="00292258" w:rsidRPr="009F6DC1" w:rsidRDefault="00292258" w:rsidP="00D4421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p w:rsidR="008B171B" w:rsidRPr="009F6DC1" w:rsidRDefault="00292258" w:rsidP="00D4421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color w:val="FFFFFF"/>
                <w:sz w:val="20"/>
                <w:szCs w:val="20"/>
              </w:rPr>
            </w:pPr>
            <w:r w:rsidRPr="009F6DC1">
              <w:rPr>
                <w:rFonts w:cs="Arial"/>
                <w:bCs/>
                <w:sz w:val="20"/>
                <w:szCs w:val="20"/>
              </w:rPr>
              <w:t>The most important recommendation to countries is that these criteria should be fixed or if changed should provide consistent results for the entire time span of data collection (2005</w:t>
            </w:r>
            <w:r w:rsidR="00895716" w:rsidRPr="009F6DC1">
              <w:rPr>
                <w:rFonts w:cs="Arial"/>
                <w:bCs/>
                <w:sz w:val="20"/>
                <w:szCs w:val="20"/>
              </w:rPr>
              <w:t>-2015 &amp;2020</w:t>
            </w:r>
            <w:r w:rsidRPr="009F6DC1">
              <w:rPr>
                <w:rFonts w:cs="Arial"/>
                <w:bCs/>
                <w:sz w:val="20"/>
                <w:szCs w:val="20"/>
              </w:rPr>
              <w:t>-2030).</w:t>
            </w:r>
            <w:r w:rsidR="00D44219" w:rsidRPr="009F6DC1">
              <w:rPr>
                <w:rStyle w:val="EndnoteReference"/>
                <w:rFonts w:cs="Arial"/>
                <w:bCs/>
                <w:sz w:val="20"/>
                <w:szCs w:val="20"/>
              </w:rPr>
              <w:endnoteReference w:id="2"/>
            </w:r>
          </w:p>
        </w:tc>
      </w:tr>
    </w:tbl>
    <w:p w:rsidR="001335E7" w:rsidRDefault="001335E7" w:rsidP="001335E7">
      <w:pPr>
        <w:pStyle w:val="ListParagraph"/>
        <w:spacing w:after="0" w:line="360" w:lineRule="auto"/>
        <w:ind w:left="426"/>
        <w:rPr>
          <w:b/>
        </w:rPr>
      </w:pPr>
    </w:p>
    <w:p w:rsidR="001335E7" w:rsidRDefault="001335E7" w:rsidP="00E70D5D">
      <w:pPr>
        <w:pStyle w:val="ListParagraph"/>
        <w:numPr>
          <w:ilvl w:val="0"/>
          <w:numId w:val="1"/>
        </w:numPr>
        <w:spacing w:after="0" w:line="360" w:lineRule="auto"/>
        <w:ind w:left="426"/>
        <w:rPr>
          <w:b/>
        </w:rPr>
      </w:pPr>
      <w:r>
        <w:rPr>
          <w:b/>
        </w:rPr>
        <w:lastRenderedPageBreak/>
        <w:t>Method</w:t>
      </w:r>
      <w:r w:rsidR="00060143">
        <w:rPr>
          <w:b/>
        </w:rPr>
        <w:t>s</w:t>
      </w:r>
    </w:p>
    <w:tbl>
      <w:tblPr>
        <w:tblStyle w:val="MediumGrid3-Accent1"/>
        <w:tblW w:w="5008" w:type="pct"/>
        <w:tblLook w:val="0680" w:firstRow="0" w:lastRow="0" w:firstColumn="1" w:lastColumn="0" w:noHBand="1" w:noVBand="1"/>
      </w:tblPr>
      <w:tblGrid>
        <w:gridCol w:w="2379"/>
        <w:gridCol w:w="6878"/>
      </w:tblGrid>
      <w:tr w:rsidR="001335E7" w:rsidRPr="006F33FC"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6F33FC" w:rsidRDefault="00671D29" w:rsidP="00673E59">
            <w:pPr>
              <w:autoSpaceDE w:val="0"/>
              <w:autoSpaceDN w:val="0"/>
              <w:adjustRightInd w:val="0"/>
              <w:rPr>
                <w:rFonts w:cs="Arial"/>
                <w:bCs w:val="0"/>
                <w:sz w:val="20"/>
              </w:rPr>
            </w:pPr>
            <w:r>
              <w:rPr>
                <w:rFonts w:cs="Arial"/>
                <w:bCs w:val="0"/>
                <w:sz w:val="20"/>
              </w:rPr>
              <w:t>What it</w:t>
            </w:r>
            <w:r w:rsidR="001335E7" w:rsidRPr="006F33FC">
              <w:rPr>
                <w:rFonts w:cs="Arial"/>
                <w:bCs w:val="0"/>
                <w:sz w:val="20"/>
              </w:rPr>
              <w:t xml:space="preserve"> measures</w:t>
            </w:r>
          </w:p>
        </w:tc>
        <w:tc>
          <w:tcPr>
            <w:tcW w:w="3715" w:type="pct"/>
            <w:vAlign w:val="center"/>
          </w:tcPr>
          <w:p w:rsidR="00822AF6" w:rsidRPr="008F7131" w:rsidRDefault="00822AF6" w:rsidP="00822A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8F7131">
              <w:rPr>
                <w:rFonts w:cs="Arial"/>
                <w:bCs/>
                <w:sz w:val="20"/>
                <w:szCs w:val="20"/>
              </w:rPr>
              <w:t xml:space="preserve">Sendai Framework: </w:t>
            </w:r>
            <w:r w:rsidR="00671D29" w:rsidRPr="008F7131">
              <w:rPr>
                <w:rFonts w:cs="Arial"/>
                <w:bCs/>
                <w:sz w:val="20"/>
                <w:szCs w:val="20"/>
              </w:rPr>
              <w:t>What is the pattern over time in the number of people affected</w:t>
            </w:r>
            <w:r w:rsidRPr="008F7131">
              <w:rPr>
                <w:rFonts w:cs="Arial"/>
                <w:bCs/>
                <w:sz w:val="20"/>
                <w:szCs w:val="20"/>
              </w:rPr>
              <w:t xml:space="preserve"> nationally which </w:t>
            </w:r>
            <w:r w:rsidRPr="00BF0D46">
              <w:rPr>
                <w:sz w:val="20"/>
                <w:szCs w:val="20"/>
              </w:rPr>
              <w:t>are attributable to hazar</w:t>
            </w:r>
            <w:r w:rsidRPr="008F7131">
              <w:rPr>
                <w:sz w:val="20"/>
                <w:szCs w:val="20"/>
              </w:rPr>
              <w:t>dous events (i.e. natural, technological, biological, environmental hazards)</w:t>
            </w:r>
          </w:p>
          <w:p w:rsidR="00822AF6" w:rsidRPr="008F7131" w:rsidRDefault="00822AF6" w:rsidP="00BF0D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BF0D46">
              <w:rPr>
                <w:sz w:val="20"/>
                <w:szCs w:val="20"/>
              </w:rPr>
              <w:t xml:space="preserve">Customizable: What is the pattern over time in number of people </w:t>
            </w:r>
            <w:r w:rsidRPr="008F7131">
              <w:rPr>
                <w:sz w:val="20"/>
                <w:szCs w:val="20"/>
              </w:rPr>
              <w:t xml:space="preserve">ill and injured </w:t>
            </w:r>
            <w:r w:rsidR="00BF0D46" w:rsidRPr="008F7131">
              <w:rPr>
                <w:sz w:val="20"/>
                <w:szCs w:val="20"/>
              </w:rPr>
              <w:t xml:space="preserve">directly and </w:t>
            </w:r>
            <w:r w:rsidRPr="008F7131">
              <w:rPr>
                <w:sz w:val="20"/>
                <w:szCs w:val="20"/>
              </w:rPr>
              <w:t>indirect</w:t>
            </w:r>
            <w:r w:rsidR="00BF0D46" w:rsidRPr="008F7131">
              <w:rPr>
                <w:sz w:val="20"/>
                <w:szCs w:val="20"/>
              </w:rPr>
              <w:t>ly attributable</w:t>
            </w:r>
            <w:r w:rsidRPr="008F7131">
              <w:rPr>
                <w:sz w:val="20"/>
                <w:szCs w:val="20"/>
              </w:rPr>
              <w:t xml:space="preserve"> to hazardous events to all types of hazardous events</w:t>
            </w:r>
          </w:p>
        </w:tc>
      </w:tr>
      <w:tr w:rsidR="001335E7" w:rsidRPr="006F33FC"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6F33FC" w:rsidRDefault="001335E7" w:rsidP="00673E59">
            <w:pPr>
              <w:autoSpaceDE w:val="0"/>
              <w:autoSpaceDN w:val="0"/>
              <w:adjustRightInd w:val="0"/>
              <w:rPr>
                <w:rFonts w:cs="Arial"/>
                <w:sz w:val="20"/>
              </w:rPr>
            </w:pPr>
            <w:r w:rsidRPr="006F33FC">
              <w:rPr>
                <w:rFonts w:cs="Arial"/>
                <w:sz w:val="20"/>
              </w:rPr>
              <w:t>Key terms</w:t>
            </w:r>
          </w:p>
        </w:tc>
        <w:tc>
          <w:tcPr>
            <w:tcW w:w="3715" w:type="pct"/>
            <w:vAlign w:val="center"/>
          </w:tcPr>
          <w:p w:rsidR="001335E7" w:rsidRPr="008F7131" w:rsidRDefault="00256D0E" w:rsidP="00671D2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8F7131">
              <w:rPr>
                <w:b/>
                <w:sz w:val="20"/>
                <w:szCs w:val="20"/>
              </w:rPr>
              <w:t xml:space="preserve">Injured or ill: </w:t>
            </w:r>
            <w:r w:rsidRPr="008F7131">
              <w:rPr>
                <w:sz w:val="20"/>
                <w:szCs w:val="20"/>
              </w:rPr>
              <w:t>People suffering from a new or exacerbated physical or psychological harm, trauma or an illness as a result of a disaster.</w:t>
            </w:r>
          </w:p>
        </w:tc>
      </w:tr>
      <w:tr w:rsidR="001335E7" w:rsidRPr="006F33FC"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6F33FC" w:rsidRDefault="001335E7" w:rsidP="00673E59">
            <w:pPr>
              <w:autoSpaceDE w:val="0"/>
              <w:autoSpaceDN w:val="0"/>
              <w:adjustRightInd w:val="0"/>
              <w:rPr>
                <w:rFonts w:cs="Arial"/>
                <w:bCs w:val="0"/>
                <w:sz w:val="20"/>
              </w:rPr>
            </w:pPr>
            <w:r w:rsidRPr="006F33FC">
              <w:rPr>
                <w:rFonts w:cs="Arial"/>
                <w:bCs w:val="0"/>
                <w:sz w:val="20"/>
              </w:rPr>
              <w:t xml:space="preserve">Health </w:t>
            </w:r>
            <w:r>
              <w:rPr>
                <w:rFonts w:cs="Arial"/>
                <w:bCs w:val="0"/>
                <w:sz w:val="20"/>
              </w:rPr>
              <w:t>input</w:t>
            </w:r>
            <w:r w:rsidRPr="006F33FC">
              <w:rPr>
                <w:rFonts w:cs="Arial"/>
                <w:bCs w:val="0"/>
                <w:sz w:val="20"/>
              </w:rPr>
              <w:t xml:space="preserve"> </w:t>
            </w:r>
          </w:p>
        </w:tc>
        <w:tc>
          <w:tcPr>
            <w:tcW w:w="3715" w:type="pct"/>
            <w:vAlign w:val="center"/>
          </w:tcPr>
          <w:p w:rsidR="007F4C64" w:rsidRPr="008F7131" w:rsidRDefault="007F4C64" w:rsidP="007F4C6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Direct health impact suffered</w:t>
            </w:r>
          </w:p>
          <w:p w:rsidR="001335E7" w:rsidRPr="008F7131" w:rsidRDefault="007F4C64" w:rsidP="007F4C6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Impacted on the wider determinants of health/quality of life</w:t>
            </w:r>
          </w:p>
        </w:tc>
      </w:tr>
      <w:tr w:rsidR="001335E7" w:rsidRPr="006F33FC" w:rsidTr="00B226DE">
        <w:trPr>
          <w:trHeight w:val="552"/>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6F33FC" w:rsidRDefault="001335E7" w:rsidP="00673E59">
            <w:pPr>
              <w:autoSpaceDE w:val="0"/>
              <w:autoSpaceDN w:val="0"/>
              <w:adjustRightInd w:val="0"/>
              <w:rPr>
                <w:rFonts w:cs="Arial"/>
                <w:bCs w:val="0"/>
                <w:sz w:val="20"/>
              </w:rPr>
            </w:pPr>
            <w:r>
              <w:rPr>
                <w:rFonts w:cs="Arial"/>
                <w:bCs w:val="0"/>
                <w:sz w:val="20"/>
              </w:rPr>
              <w:t xml:space="preserve">Who to engage with </w:t>
            </w:r>
          </w:p>
        </w:tc>
        <w:tc>
          <w:tcPr>
            <w:tcW w:w="3715" w:type="pct"/>
            <w:vAlign w:val="center"/>
          </w:tcPr>
          <w:p w:rsidR="00671D29" w:rsidRPr="008F7131" w:rsidRDefault="00671D29" w:rsidP="00671D2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Ministry of health</w:t>
            </w:r>
          </w:p>
          <w:p w:rsidR="00671D29" w:rsidRPr="008F7131" w:rsidRDefault="00671D29" w:rsidP="00671D2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Health statistics office/Health information management systems</w:t>
            </w:r>
          </w:p>
          <w:p w:rsidR="00671D29" w:rsidRPr="008F7131" w:rsidRDefault="00671D29" w:rsidP="00671D2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National disease surveillance system</w:t>
            </w:r>
          </w:p>
          <w:p w:rsidR="00671D29" w:rsidRPr="008F7131" w:rsidRDefault="00671D29" w:rsidP="00671D2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National disaster management offices</w:t>
            </w:r>
          </w:p>
          <w:p w:rsidR="00671D29" w:rsidRPr="008F7131" w:rsidRDefault="00671D29" w:rsidP="00671D2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National focal point for Sendai Framework reporting</w:t>
            </w:r>
          </w:p>
          <w:p w:rsidR="00671D29" w:rsidRPr="008F7131" w:rsidRDefault="00671D29" w:rsidP="00671D2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 xml:space="preserve">National Statistics Offices </w:t>
            </w:r>
          </w:p>
          <w:p w:rsidR="00671D29" w:rsidRPr="008F7131" w:rsidRDefault="00671D29" w:rsidP="00671D2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National focal point (?) for SDG reporting</w:t>
            </w:r>
          </w:p>
          <w:p w:rsidR="00671D29" w:rsidRPr="008F7131" w:rsidRDefault="00671D29" w:rsidP="00671D2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WHO Country Offices/Regional Offices – WHO Health Emergencies Programme/Global Health Observatory</w:t>
            </w:r>
          </w:p>
          <w:p w:rsidR="001335E7" w:rsidRPr="008F7131" w:rsidRDefault="00671D29" w:rsidP="00671D2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Other sectors contributing (e.g. agriculture, business)</w:t>
            </w:r>
          </w:p>
        </w:tc>
      </w:tr>
      <w:tr w:rsidR="001335E7" w:rsidRPr="006F33FC"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Default="001335E7" w:rsidP="00673E59">
            <w:pPr>
              <w:autoSpaceDE w:val="0"/>
              <w:autoSpaceDN w:val="0"/>
              <w:adjustRightInd w:val="0"/>
              <w:rPr>
                <w:rFonts w:cs="Arial"/>
                <w:bCs w:val="0"/>
                <w:sz w:val="20"/>
              </w:rPr>
            </w:pPr>
            <w:r>
              <w:rPr>
                <w:rFonts w:cs="Arial"/>
                <w:bCs w:val="0"/>
                <w:sz w:val="20"/>
              </w:rPr>
              <w:t xml:space="preserve">Indicator formula </w:t>
            </w:r>
          </w:p>
        </w:tc>
        <w:tc>
          <w:tcPr>
            <w:tcW w:w="3715" w:type="pct"/>
            <w:vAlign w:val="center"/>
          </w:tcPr>
          <w:p w:rsidR="0054760F" w:rsidRPr="008F7131" w:rsidRDefault="0054760F" w:rsidP="0054760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F7131">
              <w:rPr>
                <w:b/>
                <w:sz w:val="20"/>
                <w:szCs w:val="20"/>
              </w:rPr>
              <w:t>[(a + b + c + d)/e]*100,000</w:t>
            </w:r>
            <w:r w:rsidRPr="008F7131">
              <w:rPr>
                <w:b/>
                <w:sz w:val="20"/>
                <w:szCs w:val="20"/>
              </w:rPr>
              <w:br/>
            </w:r>
          </w:p>
          <w:p w:rsidR="0054760F" w:rsidRPr="008F7131" w:rsidRDefault="0054760F" w:rsidP="0054760F">
            <w:pPr>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a = number of injured or ill people attributed to disasters</w:t>
            </w:r>
          </w:p>
          <w:p w:rsidR="0054760F" w:rsidRPr="008F7131" w:rsidRDefault="0054760F" w:rsidP="0054760F">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 xml:space="preserve">people suffering from a new or exacerbated physical or psychological harm, trauma or an illness as a result of a disaster </w:t>
            </w:r>
            <w:r w:rsidRPr="008F7131">
              <w:rPr>
                <w:sz w:val="20"/>
                <w:szCs w:val="20"/>
              </w:rPr>
              <w:br/>
            </w:r>
          </w:p>
          <w:p w:rsidR="0054760F" w:rsidRPr="008F7131" w:rsidRDefault="0054760F" w:rsidP="0054760F">
            <w:pPr>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 xml:space="preserve">Other components with </w:t>
            </w:r>
            <w:r w:rsidRPr="008F7131">
              <w:rPr>
                <w:b/>
                <w:sz w:val="20"/>
                <w:szCs w:val="20"/>
              </w:rPr>
              <w:t>no direct role for health</w:t>
            </w:r>
            <w:r w:rsidRPr="008F7131">
              <w:rPr>
                <w:sz w:val="20"/>
                <w:szCs w:val="20"/>
              </w:rPr>
              <w:t>:</w:t>
            </w:r>
          </w:p>
          <w:p w:rsidR="0054760F" w:rsidRPr="008F7131" w:rsidRDefault="0054760F" w:rsidP="0054760F">
            <w:pPr>
              <w:cnfStyle w:val="000000000000" w:firstRow="0" w:lastRow="0" w:firstColumn="0" w:lastColumn="0" w:oddVBand="0" w:evenVBand="0" w:oddHBand="0" w:evenHBand="0" w:firstRowFirstColumn="0" w:firstRowLastColumn="0" w:lastRowFirstColumn="0" w:lastRowLastColumn="0"/>
              <w:rPr>
                <w:sz w:val="20"/>
                <w:szCs w:val="20"/>
              </w:rPr>
            </w:pPr>
          </w:p>
          <w:p w:rsidR="0054760F" w:rsidRPr="008F7131" w:rsidRDefault="0054760F" w:rsidP="0054760F">
            <w:pPr>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 xml:space="preserve">b = number of people whose damaged dwellings were attributed to disasters </w:t>
            </w:r>
          </w:p>
          <w:p w:rsidR="0054760F" w:rsidRPr="008F7131" w:rsidRDefault="0054760F" w:rsidP="0054760F">
            <w:pPr>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c = number of people whose destroyed dwellings were attributed to disasters</w:t>
            </w:r>
          </w:p>
          <w:p w:rsidR="0054760F" w:rsidRPr="008F7131" w:rsidRDefault="0054760F" w:rsidP="0054760F">
            <w:pPr>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 xml:space="preserve">d = number of people whose livelihoods were disrupted or destroyed attributed to disasters </w:t>
            </w:r>
          </w:p>
          <w:p w:rsidR="001335E7" w:rsidRPr="008F7131" w:rsidRDefault="0054760F" w:rsidP="007F4C64">
            <w:pPr>
              <w:tabs>
                <w:tab w:val="left" w:pos="190"/>
              </w:tabs>
              <w:ind w:right="95"/>
              <w:contextualSpacing/>
              <w:jc w:val="both"/>
              <w:cnfStyle w:val="000000000000" w:firstRow="0" w:lastRow="0" w:firstColumn="0" w:lastColumn="0" w:oddVBand="0" w:evenVBand="0" w:oddHBand="0" w:evenHBand="0" w:firstRowFirstColumn="0" w:firstRowLastColumn="0" w:lastRowFirstColumn="0" w:lastRowLastColumn="0"/>
              <w:rPr>
                <w:sz w:val="20"/>
                <w:szCs w:val="20"/>
              </w:rPr>
            </w:pPr>
            <w:r w:rsidRPr="008F7131">
              <w:rPr>
                <w:sz w:val="20"/>
                <w:szCs w:val="20"/>
              </w:rPr>
              <w:t>e = represented population</w:t>
            </w:r>
          </w:p>
        </w:tc>
      </w:tr>
      <w:tr w:rsidR="001335E7" w:rsidRPr="006F33FC"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Default="001335E7" w:rsidP="00673E59">
            <w:pPr>
              <w:autoSpaceDE w:val="0"/>
              <w:autoSpaceDN w:val="0"/>
              <w:adjustRightInd w:val="0"/>
              <w:rPr>
                <w:rFonts w:cs="Arial"/>
                <w:bCs w:val="0"/>
                <w:sz w:val="20"/>
              </w:rPr>
            </w:pPr>
            <w:r>
              <w:rPr>
                <w:rFonts w:cs="Arial"/>
                <w:bCs w:val="0"/>
                <w:sz w:val="20"/>
              </w:rPr>
              <w:t>Indicator Components</w:t>
            </w:r>
          </w:p>
        </w:tc>
        <w:tc>
          <w:tcPr>
            <w:tcW w:w="3715" w:type="pct"/>
            <w:vAlign w:val="center"/>
          </w:tcPr>
          <w:p w:rsidR="007F4C64" w:rsidRPr="008F7131" w:rsidRDefault="007F4C64" w:rsidP="007F4C64">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8F7131">
              <w:rPr>
                <w:b/>
                <w:sz w:val="20"/>
                <w:szCs w:val="20"/>
              </w:rPr>
              <w:t xml:space="preserve">Data Sources = </w:t>
            </w:r>
            <w:r w:rsidRPr="008F7131">
              <w:rPr>
                <w:i/>
                <w:sz w:val="20"/>
                <w:szCs w:val="20"/>
              </w:rPr>
              <w:t>Preferred</w:t>
            </w:r>
            <w:r w:rsidRPr="008F7131">
              <w:rPr>
                <w:sz w:val="20"/>
                <w:szCs w:val="20"/>
              </w:rPr>
              <w:t xml:space="preserve">: Hospital Statistics </w:t>
            </w:r>
            <w:r w:rsidRPr="008F7131">
              <w:rPr>
                <w:i/>
                <w:sz w:val="20"/>
                <w:szCs w:val="20"/>
              </w:rPr>
              <w:t>Other</w:t>
            </w:r>
            <w:r w:rsidRPr="008F7131">
              <w:rPr>
                <w:sz w:val="20"/>
                <w:szCs w:val="20"/>
              </w:rPr>
              <w:t>: Surveys</w:t>
            </w:r>
          </w:p>
          <w:p w:rsidR="007F4C64" w:rsidRPr="008F7131" w:rsidRDefault="007F4C64" w:rsidP="007F4C64">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8F7131">
              <w:rPr>
                <w:b/>
                <w:sz w:val="20"/>
                <w:szCs w:val="20"/>
              </w:rPr>
              <w:t xml:space="preserve">Data Owners </w:t>
            </w:r>
            <w:r w:rsidRPr="008F7131">
              <w:rPr>
                <w:sz w:val="20"/>
                <w:szCs w:val="20"/>
              </w:rPr>
              <w:t xml:space="preserve">= </w:t>
            </w:r>
            <w:proofErr w:type="spellStart"/>
            <w:r w:rsidRPr="008F7131">
              <w:rPr>
                <w:sz w:val="20"/>
                <w:szCs w:val="20"/>
              </w:rPr>
              <w:t>MoH</w:t>
            </w:r>
            <w:proofErr w:type="spellEnd"/>
            <w:r w:rsidRPr="008F7131">
              <w:rPr>
                <w:sz w:val="20"/>
                <w:szCs w:val="20"/>
              </w:rPr>
              <w:t>, National Disaster Management Organisations, International Emergency Response Organisations.</w:t>
            </w:r>
          </w:p>
          <w:p w:rsidR="007F4C64" w:rsidRPr="008F7131" w:rsidRDefault="007F4C64" w:rsidP="007F4C64">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8F7131">
              <w:rPr>
                <w:b/>
                <w:sz w:val="20"/>
                <w:szCs w:val="20"/>
              </w:rPr>
              <w:t xml:space="preserve">Data Analysis </w:t>
            </w:r>
            <w:r w:rsidRPr="008F7131">
              <w:rPr>
                <w:sz w:val="20"/>
                <w:szCs w:val="20"/>
              </w:rPr>
              <w:t xml:space="preserve">= Dependent on source. </w:t>
            </w:r>
          </w:p>
          <w:p w:rsidR="007F4C64" w:rsidRPr="008F7131" w:rsidRDefault="007F4C64" w:rsidP="007F4C64">
            <w:pPr>
              <w:ind w:left="720"/>
              <w:contextualSpacing/>
              <w:cnfStyle w:val="000000000000" w:firstRow="0" w:lastRow="0" w:firstColumn="0" w:lastColumn="0" w:oddVBand="0" w:evenVBand="0" w:oddHBand="0" w:evenHBand="0" w:firstRowFirstColumn="0" w:firstRowLastColumn="0" w:lastRowFirstColumn="0" w:lastRowLastColumn="0"/>
              <w:rPr>
                <w:sz w:val="20"/>
                <w:szCs w:val="20"/>
              </w:rPr>
            </w:pPr>
            <w:r w:rsidRPr="008F7131">
              <w:rPr>
                <w:i/>
                <w:sz w:val="20"/>
                <w:szCs w:val="20"/>
              </w:rPr>
              <w:t>Hospital Statistics</w:t>
            </w:r>
            <w:r w:rsidRPr="008F7131">
              <w:rPr>
                <w:sz w:val="20"/>
                <w:szCs w:val="20"/>
              </w:rPr>
              <w:t>: Include relevant coded episodes within specified timeframe.  Calculate excess mortality</w:t>
            </w:r>
          </w:p>
          <w:p w:rsidR="001335E7" w:rsidRPr="008F7131" w:rsidRDefault="007F4C64" w:rsidP="007F4C64">
            <w:pPr>
              <w:ind w:left="720"/>
              <w:contextualSpacing/>
              <w:cnfStyle w:val="000000000000" w:firstRow="0" w:lastRow="0" w:firstColumn="0" w:lastColumn="0" w:oddVBand="0" w:evenVBand="0" w:oddHBand="0" w:evenHBand="0" w:firstRowFirstColumn="0" w:firstRowLastColumn="0" w:lastRowFirstColumn="0" w:lastRowLastColumn="0"/>
              <w:rPr>
                <w:sz w:val="20"/>
                <w:szCs w:val="20"/>
              </w:rPr>
            </w:pPr>
            <w:r w:rsidRPr="008F7131">
              <w:rPr>
                <w:i/>
                <w:sz w:val="20"/>
                <w:szCs w:val="20"/>
              </w:rPr>
              <w:t xml:space="preserve">Surveys: </w:t>
            </w:r>
            <w:r w:rsidRPr="008F7131">
              <w:rPr>
                <w:sz w:val="20"/>
                <w:szCs w:val="20"/>
              </w:rPr>
              <w:t xml:space="preserve"> </w:t>
            </w:r>
          </w:p>
        </w:tc>
      </w:tr>
      <w:tr w:rsidR="001335E7" w:rsidRPr="006F33FC"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Default="001335E7" w:rsidP="00673E59">
            <w:pPr>
              <w:autoSpaceDE w:val="0"/>
              <w:autoSpaceDN w:val="0"/>
              <w:adjustRightInd w:val="0"/>
              <w:rPr>
                <w:rFonts w:cs="Arial"/>
                <w:bCs w:val="0"/>
                <w:sz w:val="20"/>
              </w:rPr>
            </w:pPr>
            <w:r>
              <w:rPr>
                <w:rFonts w:cs="Arial"/>
                <w:bCs w:val="0"/>
                <w:sz w:val="20"/>
              </w:rPr>
              <w:t>Represented population</w:t>
            </w:r>
          </w:p>
        </w:tc>
        <w:tc>
          <w:tcPr>
            <w:tcW w:w="3715" w:type="pct"/>
            <w:vAlign w:val="center"/>
          </w:tcPr>
          <w:p w:rsidR="001335E7" w:rsidRPr="008F7131" w:rsidRDefault="0054760F" w:rsidP="00673E59">
            <w:pPr>
              <w:contextualSpacing/>
              <w:cnfStyle w:val="000000000000" w:firstRow="0" w:lastRow="0" w:firstColumn="0" w:lastColumn="0" w:oddVBand="0" w:evenVBand="0" w:oddHBand="0" w:evenHBand="0" w:firstRowFirstColumn="0" w:firstRowLastColumn="0" w:lastRowFirstColumn="0" w:lastRowLastColumn="0"/>
              <w:rPr>
                <w:b/>
                <w:i/>
                <w:sz w:val="20"/>
                <w:szCs w:val="20"/>
              </w:rPr>
            </w:pPr>
            <w:r w:rsidRPr="008F7131">
              <w:rPr>
                <w:sz w:val="20"/>
                <w:szCs w:val="20"/>
              </w:rPr>
              <w:t>National census (National Statistics Office)</w:t>
            </w:r>
            <w:r w:rsidR="0093488E" w:rsidRPr="008F7131">
              <w:rPr>
                <w:sz w:val="20"/>
                <w:szCs w:val="20"/>
              </w:rPr>
              <w:t xml:space="preserve"> or equivalent</w:t>
            </w:r>
          </w:p>
        </w:tc>
      </w:tr>
      <w:tr w:rsidR="001335E7" w:rsidRPr="006F33FC"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Default="001335E7" w:rsidP="00673E59">
            <w:pPr>
              <w:autoSpaceDE w:val="0"/>
              <w:autoSpaceDN w:val="0"/>
              <w:adjustRightInd w:val="0"/>
              <w:rPr>
                <w:rFonts w:cs="Arial"/>
                <w:bCs w:val="0"/>
                <w:sz w:val="20"/>
              </w:rPr>
            </w:pPr>
            <w:r w:rsidRPr="00747AB9">
              <w:rPr>
                <w:sz w:val="20"/>
              </w:rPr>
              <w:t>Interpretation considerations</w:t>
            </w:r>
          </w:p>
        </w:tc>
        <w:tc>
          <w:tcPr>
            <w:tcW w:w="3715" w:type="pct"/>
            <w:vAlign w:val="center"/>
          </w:tcPr>
          <w:p w:rsidR="00895716" w:rsidRPr="008F7131" w:rsidRDefault="00CC6CFE" w:rsidP="00895716">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8F7131">
              <w:rPr>
                <w:b/>
                <w:sz w:val="20"/>
                <w:szCs w:val="20"/>
              </w:rPr>
              <w:t xml:space="preserve">Attribution: </w:t>
            </w:r>
            <w:r w:rsidRPr="008F7131">
              <w:rPr>
                <w:sz w:val="20"/>
                <w:szCs w:val="20"/>
              </w:rPr>
              <w:t>As per overview.</w:t>
            </w:r>
            <w:r w:rsidR="00895716" w:rsidRPr="008F7131">
              <w:rPr>
                <w:sz w:val="20"/>
                <w:szCs w:val="20"/>
              </w:rPr>
              <w:t xml:space="preserve">  Consider “Indirectly” and “Directly” affected as follows:</w:t>
            </w:r>
          </w:p>
          <w:p w:rsidR="00895716" w:rsidRPr="008F7131" w:rsidRDefault="00895716" w:rsidP="00895716">
            <w:pPr>
              <w:pStyle w:val="ListParagraph"/>
              <w:numPr>
                <w:ilvl w:val="1"/>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8F7131">
              <w:rPr>
                <w:b/>
                <w:sz w:val="20"/>
                <w:szCs w:val="20"/>
              </w:rPr>
              <w:t>Directly affected</w:t>
            </w:r>
            <w:r w:rsidRPr="008F7131">
              <w:rPr>
                <w:sz w:val="20"/>
                <w:szCs w:val="20"/>
              </w:rPr>
              <w:t xml:space="preserve">: People who have suffered injury, illness or other health effects; who were evacuated, displaced, relocated; or have suffered direct damage to their livelihoods, economic, physical, social, cultural and </w:t>
            </w:r>
            <w:r w:rsidRPr="008F7131">
              <w:rPr>
                <w:sz w:val="20"/>
                <w:szCs w:val="20"/>
              </w:rPr>
              <w:lastRenderedPageBreak/>
              <w:t>environmental assets.</w:t>
            </w:r>
          </w:p>
          <w:p w:rsidR="00895716" w:rsidRPr="008F7131" w:rsidRDefault="00895716" w:rsidP="00895716">
            <w:pPr>
              <w:pStyle w:val="ListParagraph"/>
              <w:numPr>
                <w:ilvl w:val="1"/>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8F7131">
              <w:rPr>
                <w:b/>
                <w:sz w:val="20"/>
                <w:szCs w:val="20"/>
              </w:rPr>
              <w:t>Indirectly affected</w:t>
            </w:r>
            <w:r w:rsidRPr="008F7131">
              <w:rPr>
                <w:rStyle w:val="FootnoteReference"/>
                <w:b/>
                <w:sz w:val="20"/>
                <w:szCs w:val="20"/>
              </w:rPr>
              <w:footnoteReference w:id="1"/>
            </w:r>
            <w:r w:rsidRPr="008F7131">
              <w:rPr>
                <w:sz w:val="20"/>
                <w:szCs w:val="20"/>
              </w:rPr>
              <w:t>: People who have suffered consequences, other than or in addition to direct effects, over time due to disruption or changes in economy, critical infrastructures, basic services, commerce, work or social, health and physiological consequences</w:t>
            </w:r>
            <w:r w:rsidR="00CC6CFE" w:rsidRPr="008F7131">
              <w:rPr>
                <w:sz w:val="20"/>
                <w:szCs w:val="20"/>
              </w:rPr>
              <w:t xml:space="preserve"> Consider what to attribute to event</w:t>
            </w:r>
            <w:r w:rsidRPr="008F7131">
              <w:rPr>
                <w:sz w:val="20"/>
                <w:szCs w:val="20"/>
              </w:rPr>
              <w:br/>
            </w:r>
          </w:p>
          <w:p w:rsidR="00895716" w:rsidRPr="008F7131" w:rsidRDefault="00CC6CFE" w:rsidP="00895716">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8F7131">
              <w:rPr>
                <w:b/>
                <w:sz w:val="20"/>
                <w:szCs w:val="20"/>
              </w:rPr>
              <w:t>Statistical analysis:</w:t>
            </w:r>
            <w:r w:rsidRPr="008F7131">
              <w:rPr>
                <w:sz w:val="20"/>
                <w:szCs w:val="20"/>
              </w:rPr>
              <w:t xml:space="preserve"> Analysis may be required to calculate excess </w:t>
            </w:r>
            <w:r w:rsidR="0093488E" w:rsidRPr="008F7131">
              <w:rPr>
                <w:sz w:val="20"/>
                <w:szCs w:val="20"/>
              </w:rPr>
              <w:t>injury etc.</w:t>
            </w:r>
            <w:r w:rsidR="00292258" w:rsidRPr="008F7131">
              <w:rPr>
                <w:sz w:val="20"/>
                <w:szCs w:val="20"/>
              </w:rPr>
              <w:t xml:space="preserve"> Excess morbidity is thus morbidity ill that is attributable to crisis conditions. It can be expressed as a rate (the</w:t>
            </w:r>
            <w:r w:rsidR="00256D0E" w:rsidRPr="008F7131">
              <w:rPr>
                <w:sz w:val="20"/>
                <w:szCs w:val="20"/>
              </w:rPr>
              <w:t xml:space="preserve"> </w:t>
            </w:r>
            <w:r w:rsidR="00292258" w:rsidRPr="008F7131">
              <w:rPr>
                <w:sz w:val="20"/>
                <w:szCs w:val="20"/>
              </w:rPr>
              <w:t>difference between observed and non-crisis morbidity rates), or as a total</w:t>
            </w:r>
            <w:r w:rsidR="00256D0E" w:rsidRPr="008F7131">
              <w:rPr>
                <w:sz w:val="20"/>
                <w:szCs w:val="20"/>
              </w:rPr>
              <w:t xml:space="preserve"> </w:t>
            </w:r>
            <w:r w:rsidR="00292258" w:rsidRPr="008F7131">
              <w:rPr>
                <w:sz w:val="20"/>
                <w:szCs w:val="20"/>
              </w:rPr>
              <w:t>number of excess illness. In the case of the indicator the total number of excess</w:t>
            </w:r>
            <w:r w:rsidR="00256D0E" w:rsidRPr="008F7131">
              <w:rPr>
                <w:sz w:val="20"/>
                <w:szCs w:val="20"/>
              </w:rPr>
              <w:t xml:space="preserve"> </w:t>
            </w:r>
            <w:r w:rsidR="00292258" w:rsidRPr="008F7131">
              <w:rPr>
                <w:sz w:val="20"/>
                <w:szCs w:val="20"/>
              </w:rPr>
              <w:t>ill should be used.</w:t>
            </w:r>
          </w:p>
          <w:p w:rsidR="00895716" w:rsidRPr="008F7131" w:rsidRDefault="0093488E" w:rsidP="00895716">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8F7131">
              <w:rPr>
                <w:b/>
                <w:sz w:val="20"/>
                <w:szCs w:val="20"/>
              </w:rPr>
              <w:t xml:space="preserve">Double Counting: </w:t>
            </w:r>
            <w:r w:rsidRPr="008F7131">
              <w:rPr>
                <w:sz w:val="20"/>
                <w:szCs w:val="20"/>
              </w:rPr>
              <w:t>As per formula, double counting is unavoidable</w:t>
            </w:r>
            <w:r w:rsidR="00895716" w:rsidRPr="008F7131">
              <w:rPr>
                <w:sz w:val="20"/>
                <w:szCs w:val="20"/>
              </w:rPr>
              <w:t>.</w:t>
            </w:r>
          </w:p>
          <w:p w:rsidR="00895716" w:rsidRPr="008F7131" w:rsidRDefault="0093488E" w:rsidP="00895716">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8F7131">
              <w:rPr>
                <w:b/>
                <w:sz w:val="20"/>
                <w:szCs w:val="20"/>
              </w:rPr>
              <w:t xml:space="preserve">Requirement of death statistics: </w:t>
            </w:r>
            <w:r w:rsidRPr="008F7131">
              <w:rPr>
                <w:sz w:val="20"/>
                <w:szCs w:val="20"/>
              </w:rPr>
              <w:t>Although not included in formula, may be required (e.g. in epidemics)</w:t>
            </w:r>
          </w:p>
          <w:p w:rsidR="00895716" w:rsidRPr="008F7131" w:rsidRDefault="00292258" w:rsidP="00895716">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8F7131">
              <w:rPr>
                <w:b/>
                <w:sz w:val="20"/>
                <w:szCs w:val="20"/>
              </w:rPr>
              <w:t xml:space="preserve">Coverage: </w:t>
            </w:r>
            <w:r w:rsidRPr="008F7131">
              <w:rPr>
                <w:sz w:val="20"/>
                <w:szCs w:val="20"/>
              </w:rPr>
              <w:t>Coverage of survey data is unlikely to be complete</w:t>
            </w:r>
          </w:p>
          <w:p w:rsidR="00292258" w:rsidRPr="008F7131" w:rsidRDefault="00292258" w:rsidP="00895716">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8F7131">
              <w:rPr>
                <w:b/>
                <w:sz w:val="20"/>
                <w:szCs w:val="20"/>
              </w:rPr>
              <w:t xml:space="preserve">Bias: </w:t>
            </w:r>
            <w:r w:rsidRPr="008F7131">
              <w:rPr>
                <w:sz w:val="20"/>
                <w:szCs w:val="20"/>
              </w:rPr>
              <w:t>Surveys are liable to introduce sampling bias</w:t>
            </w:r>
          </w:p>
        </w:tc>
      </w:tr>
      <w:tr w:rsidR="00BF0D46" w:rsidRPr="00BC5EB6" w:rsidTr="00BF0D4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1285" w:type="pct"/>
          </w:tcPr>
          <w:p w:rsidR="00BF0D46" w:rsidRPr="00BC5EB6" w:rsidRDefault="00BF0D46" w:rsidP="00BC5EB6">
            <w:pPr>
              <w:autoSpaceDE w:val="0"/>
              <w:autoSpaceDN w:val="0"/>
              <w:adjustRightInd w:val="0"/>
              <w:rPr>
                <w:sz w:val="20"/>
                <w:szCs w:val="20"/>
              </w:rPr>
            </w:pPr>
            <w:r w:rsidRPr="00BC5EB6">
              <w:rPr>
                <w:sz w:val="20"/>
                <w:szCs w:val="20"/>
              </w:rPr>
              <w:lastRenderedPageBreak/>
              <w:t>Customizable indicators</w:t>
            </w:r>
          </w:p>
        </w:tc>
        <w:tc>
          <w:tcPr>
            <w:tcW w:w="3715" w:type="pct"/>
          </w:tcPr>
          <w:p w:rsidR="00BF0D46" w:rsidRPr="008F7131" w:rsidRDefault="00BF0D46" w:rsidP="00BF0D46">
            <w:pPr>
              <w:cnfStyle w:val="000000100000" w:firstRow="0" w:lastRow="0" w:firstColumn="0" w:lastColumn="0" w:oddVBand="0" w:evenVBand="0" w:oddHBand="1" w:evenHBand="0" w:firstRowFirstColumn="0" w:firstRowLastColumn="0" w:lastRowFirstColumn="0" w:lastRowLastColumn="0"/>
              <w:rPr>
                <w:sz w:val="20"/>
                <w:szCs w:val="20"/>
              </w:rPr>
            </w:pPr>
            <w:r w:rsidRPr="00BF0D46">
              <w:rPr>
                <w:sz w:val="20"/>
                <w:szCs w:val="20"/>
              </w:rPr>
              <w:t xml:space="preserve">The health sector has a key role in reducing morbidity of, both directly and indirectly, attributable to </w:t>
            </w:r>
            <w:r w:rsidRPr="008F7131">
              <w:rPr>
                <w:sz w:val="20"/>
                <w:szCs w:val="20"/>
              </w:rPr>
              <w:t xml:space="preserve">all types of hazardous events. </w:t>
            </w:r>
          </w:p>
          <w:p w:rsidR="00BF0D46" w:rsidRPr="008F7131" w:rsidRDefault="00BF0D46" w:rsidP="00BC5EB6">
            <w:pPr>
              <w:cnfStyle w:val="000000100000" w:firstRow="0" w:lastRow="0" w:firstColumn="0" w:lastColumn="0" w:oddVBand="0" w:evenVBand="0" w:oddHBand="1" w:evenHBand="0" w:firstRowFirstColumn="0" w:firstRowLastColumn="0" w:lastRowFirstColumn="0" w:lastRowLastColumn="0"/>
              <w:rPr>
                <w:sz w:val="20"/>
                <w:szCs w:val="20"/>
              </w:rPr>
            </w:pPr>
            <w:r w:rsidRPr="008F7131">
              <w:rPr>
                <w:sz w:val="20"/>
                <w:szCs w:val="20"/>
              </w:rPr>
              <w:t xml:space="preserve">Hence, countries should consider a monitoring and reporting on the number of people ill and injured, </w:t>
            </w:r>
            <w:r w:rsidRPr="008F7131">
              <w:rPr>
                <w:rFonts w:cs="Arial"/>
                <w:bCs/>
                <w:color w:val="000000"/>
                <w:sz w:val="20"/>
                <w:szCs w:val="20"/>
              </w:rPr>
              <w:t xml:space="preserve"> both directly and indirectly attributable,  to all types of hazardous events, per 100,000 population. </w:t>
            </w:r>
            <w:r w:rsidRPr="008F7131">
              <w:rPr>
                <w:rFonts w:cs="Arial"/>
                <w:bCs/>
                <w:i/>
                <w:iCs/>
                <w:color w:val="000000"/>
                <w:sz w:val="20"/>
                <w:szCs w:val="20"/>
              </w:rPr>
              <w:t>NB. Further guidance needed here.</w:t>
            </w:r>
          </w:p>
        </w:tc>
      </w:tr>
    </w:tbl>
    <w:p w:rsidR="001335E7" w:rsidRDefault="001335E7" w:rsidP="001335E7">
      <w:pPr>
        <w:pStyle w:val="ListParagraph"/>
        <w:spacing w:after="0" w:line="360" w:lineRule="auto"/>
        <w:ind w:left="426"/>
        <w:rPr>
          <w:b/>
        </w:rPr>
      </w:pPr>
    </w:p>
    <w:p w:rsidR="001C041B" w:rsidRDefault="001C041B" w:rsidP="00072005">
      <w:pPr>
        <w:pStyle w:val="ListParagraph"/>
        <w:numPr>
          <w:ilvl w:val="0"/>
          <w:numId w:val="1"/>
        </w:numPr>
        <w:spacing w:after="0" w:line="360" w:lineRule="auto"/>
        <w:ind w:left="426" w:hanging="426"/>
        <w:rPr>
          <w:b/>
        </w:rPr>
      </w:pPr>
      <w:r w:rsidRPr="001C041B">
        <w:rPr>
          <w:b/>
        </w:rPr>
        <w:t>Reporting</w:t>
      </w:r>
    </w:p>
    <w:p w:rsidR="001C041B" w:rsidRDefault="001C041B" w:rsidP="000C1533">
      <w:pPr>
        <w:spacing w:after="0" w:line="240" w:lineRule="auto"/>
        <w:rPr>
          <w:rFonts w:cs="Arial"/>
          <w:color w:val="000000" w:themeColor="text1"/>
        </w:rPr>
      </w:pPr>
      <w:r w:rsidRPr="000C1533">
        <w:rPr>
          <w:rFonts w:cs="Arial"/>
          <w:color w:val="000000" w:themeColor="text1"/>
        </w:rPr>
        <w:t xml:space="preserve">This guidance notes has outlined the key role that Ministries of Health have in providing data to support reporting against Sendai Framework Target </w:t>
      </w:r>
      <w:r w:rsidR="000C1533" w:rsidRPr="000C1533">
        <w:rPr>
          <w:rFonts w:cs="Arial"/>
          <w:color w:val="000000" w:themeColor="text1"/>
        </w:rPr>
        <w:t>B</w:t>
      </w:r>
      <w:r w:rsidRPr="000C1533">
        <w:rPr>
          <w:rFonts w:cs="Arial"/>
          <w:color w:val="000000" w:themeColor="text1"/>
        </w:rPr>
        <w:t xml:space="preserve">.  </w:t>
      </w:r>
    </w:p>
    <w:p w:rsidR="000C1533" w:rsidRPr="008F7131" w:rsidRDefault="000C1533" w:rsidP="000C1533">
      <w:pPr>
        <w:spacing w:after="0" w:line="240" w:lineRule="auto"/>
        <w:rPr>
          <w:rFonts w:cs="Arial"/>
          <w:color w:val="000000" w:themeColor="text1"/>
          <w:sz w:val="16"/>
          <w:szCs w:val="16"/>
        </w:rPr>
      </w:pPr>
    </w:p>
    <w:p w:rsidR="001C041B" w:rsidRDefault="001C041B" w:rsidP="00934E4E">
      <w:pPr>
        <w:spacing w:after="0" w:line="240" w:lineRule="auto"/>
        <w:rPr>
          <w:rFonts w:cs="Arial"/>
          <w:color w:val="000000" w:themeColor="text1"/>
        </w:rPr>
      </w:pPr>
      <w:r w:rsidRPr="000C1533">
        <w:rPr>
          <w:rFonts w:cs="Arial"/>
          <w:color w:val="000000" w:themeColor="text1"/>
        </w:rPr>
        <w:t xml:space="preserve">Each country’s Sendai Framework Monitoring National Focal Point has responsibility for submitting national reports for the Sendai Framework. UNISDR developed a web based tool to support Member States in reporting against the indicators.  The Sendai Framework Monitor - </w:t>
      </w:r>
      <w:hyperlink r:id="rId9" w:history="1">
        <w:r w:rsidRPr="000C1533">
          <w:rPr>
            <w:rStyle w:val="Hyperlink"/>
            <w:rFonts w:cs="Arial"/>
            <w:color w:val="000000" w:themeColor="text1"/>
          </w:rPr>
          <w:t>https://sendaimonitor.unisdr.org/</w:t>
        </w:r>
      </w:hyperlink>
      <w:r w:rsidRPr="000C1533">
        <w:rPr>
          <w:rFonts w:cs="Arial"/>
          <w:color w:val="000000" w:themeColor="text1"/>
        </w:rPr>
        <w:t xml:space="preserve"> - not only functions as a reporting tool but also functions as a management tool to help countries develop disaster risk reduction strategies, make risk-informed policy decisions and allocate resources to </w:t>
      </w:r>
      <w:r w:rsidR="00934E4E">
        <w:rPr>
          <w:rFonts w:cs="Arial"/>
          <w:color w:val="000000" w:themeColor="text1"/>
        </w:rPr>
        <w:t xml:space="preserve">manage </w:t>
      </w:r>
      <w:r w:rsidRPr="000C1533">
        <w:rPr>
          <w:rFonts w:cs="Arial"/>
          <w:color w:val="000000" w:themeColor="text1"/>
        </w:rPr>
        <w:t>risks.</w:t>
      </w:r>
    </w:p>
    <w:p w:rsidR="000C1533" w:rsidRPr="008F7131" w:rsidRDefault="000C1533" w:rsidP="000C1533">
      <w:pPr>
        <w:spacing w:after="0" w:line="240" w:lineRule="auto"/>
        <w:rPr>
          <w:rFonts w:cs="Arial"/>
          <w:color w:val="000000" w:themeColor="text1"/>
          <w:sz w:val="16"/>
          <w:szCs w:val="16"/>
        </w:rPr>
      </w:pPr>
    </w:p>
    <w:p w:rsidR="001C041B" w:rsidRPr="000C1533" w:rsidRDefault="001C041B" w:rsidP="000C1533">
      <w:pPr>
        <w:spacing w:after="0" w:line="240" w:lineRule="auto"/>
        <w:jc w:val="both"/>
        <w:rPr>
          <w:rFonts w:cs="Arial"/>
          <w:i/>
          <w:iCs/>
          <w:color w:val="000000" w:themeColor="text1"/>
        </w:rPr>
      </w:pPr>
      <w:r w:rsidRPr="000C1533">
        <w:rPr>
          <w:rFonts w:cs="Arial"/>
          <w:color w:val="000000" w:themeColor="text1"/>
          <w:shd w:val="clear" w:color="auto" w:fill="FFFFFF"/>
        </w:rPr>
        <w:t>As of March 1, 2018, Member States have been reporting report against the indicators for measuring the global targets of the Sendai Framework, and disaster risk reduction-related indicators of the SDGs, using the online Sendai Framework Monitor.</w:t>
      </w:r>
      <w:r w:rsidRPr="000C1533">
        <w:rPr>
          <w:rFonts w:cs="Arial"/>
          <w:color w:val="000000" w:themeColor="text1"/>
        </w:rPr>
        <w:t xml:space="preserve">  It is important that the relevant officials in the Ministries of Health are either linked to the National Focal </w:t>
      </w:r>
      <w:r w:rsidRPr="000C1533">
        <w:rPr>
          <w:rFonts w:cs="Arial"/>
          <w:iCs/>
          <w:color w:val="000000" w:themeColor="text1"/>
        </w:rPr>
        <w:t>point or is granted access to the Sendai framework Monitor to input health data as outli</w:t>
      </w:r>
      <w:r w:rsidR="000C1533">
        <w:rPr>
          <w:rFonts w:cs="Arial"/>
          <w:iCs/>
          <w:color w:val="000000" w:themeColor="text1"/>
        </w:rPr>
        <w:t>ned in the Guidance Note above.</w:t>
      </w:r>
      <w:r w:rsidRPr="000C1533">
        <w:rPr>
          <w:rFonts w:cs="Arial"/>
          <w:i/>
          <w:iCs/>
          <w:color w:val="000000" w:themeColor="text1"/>
        </w:rPr>
        <w:t xml:space="preserve"> </w:t>
      </w:r>
    </w:p>
    <w:p w:rsidR="001C041B" w:rsidRDefault="001C041B" w:rsidP="001335E7">
      <w:pPr>
        <w:pStyle w:val="ListParagraph"/>
        <w:spacing w:after="0" w:line="360" w:lineRule="auto"/>
        <w:ind w:left="426"/>
        <w:rPr>
          <w:b/>
        </w:rPr>
      </w:pPr>
    </w:p>
    <w:sectPr w:rsidR="001C041B" w:rsidSect="00B3128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96" w:rsidRDefault="00F96896" w:rsidP="00671D29">
      <w:pPr>
        <w:spacing w:after="0" w:line="240" w:lineRule="auto"/>
      </w:pPr>
      <w:r>
        <w:separator/>
      </w:r>
    </w:p>
  </w:endnote>
  <w:endnote w:type="continuationSeparator" w:id="0">
    <w:p w:rsidR="00F96896" w:rsidRDefault="00F96896" w:rsidP="00671D29">
      <w:pPr>
        <w:spacing w:after="0" w:line="240" w:lineRule="auto"/>
      </w:pPr>
      <w:r>
        <w:continuationSeparator/>
      </w:r>
    </w:p>
  </w:endnote>
  <w:endnote w:id="1">
    <w:p w:rsidR="00671D29" w:rsidRDefault="00671D29" w:rsidP="00671D29">
      <w:pPr>
        <w:pStyle w:val="EndnoteText"/>
      </w:pPr>
      <w:r>
        <w:rPr>
          <w:rStyle w:val="EndnoteReference"/>
        </w:rPr>
        <w:endnoteRef/>
      </w:r>
      <w:r>
        <w:t xml:space="preserve"> OIEWG</w:t>
      </w:r>
    </w:p>
  </w:endnote>
  <w:endnote w:id="2">
    <w:p w:rsidR="00D44219" w:rsidRDefault="00D44219">
      <w:pPr>
        <w:pStyle w:val="EndnoteText"/>
      </w:pPr>
      <w:r>
        <w:rPr>
          <w:rStyle w:val="EndnoteReference"/>
        </w:rPr>
        <w:endnoteRef/>
      </w:r>
      <w:r>
        <w:t xml:space="preserve"> </w:t>
      </w:r>
      <w:r w:rsidRPr="00D44219">
        <w:t>https://www.unisdr.org/files/54970_techguidancefdigitalhr.pdf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8D" w:rsidRDefault="00C21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019458"/>
      <w:docPartObj>
        <w:docPartGallery w:val="Page Numbers (Bottom of Page)"/>
        <w:docPartUnique/>
      </w:docPartObj>
    </w:sdtPr>
    <w:sdtEndPr/>
    <w:sdtContent>
      <w:sdt>
        <w:sdtPr>
          <w:id w:val="860082579"/>
          <w:docPartObj>
            <w:docPartGallery w:val="Page Numbers (Top of Page)"/>
            <w:docPartUnique/>
          </w:docPartObj>
        </w:sdtPr>
        <w:sdtEndPr/>
        <w:sdtContent>
          <w:p w:rsidR="00072005" w:rsidRDefault="00072005">
            <w:pPr>
              <w:pStyle w:val="Footer"/>
              <w:jc w:val="right"/>
            </w:pPr>
            <w:r w:rsidRPr="00072005">
              <w:rPr>
                <w:color w:val="A6A6A6" w:themeColor="background1" w:themeShade="A6"/>
                <w:sz w:val="16"/>
                <w:szCs w:val="16"/>
              </w:rPr>
              <w:t xml:space="preserve">Page </w:t>
            </w:r>
            <w:r w:rsidR="00B31289" w:rsidRPr="00072005">
              <w:rPr>
                <w:bCs/>
                <w:color w:val="A6A6A6" w:themeColor="background1" w:themeShade="A6"/>
                <w:sz w:val="16"/>
                <w:szCs w:val="16"/>
              </w:rPr>
              <w:fldChar w:fldCharType="begin"/>
            </w:r>
            <w:r w:rsidRPr="00072005">
              <w:rPr>
                <w:bCs/>
                <w:color w:val="A6A6A6" w:themeColor="background1" w:themeShade="A6"/>
                <w:sz w:val="16"/>
                <w:szCs w:val="16"/>
              </w:rPr>
              <w:instrText xml:space="preserve"> PAGE </w:instrText>
            </w:r>
            <w:r w:rsidR="00B31289" w:rsidRPr="00072005">
              <w:rPr>
                <w:bCs/>
                <w:color w:val="A6A6A6" w:themeColor="background1" w:themeShade="A6"/>
                <w:sz w:val="16"/>
                <w:szCs w:val="16"/>
              </w:rPr>
              <w:fldChar w:fldCharType="separate"/>
            </w:r>
            <w:r w:rsidR="00C2168D">
              <w:rPr>
                <w:bCs/>
                <w:noProof/>
                <w:color w:val="A6A6A6" w:themeColor="background1" w:themeShade="A6"/>
                <w:sz w:val="16"/>
                <w:szCs w:val="16"/>
              </w:rPr>
              <w:t>4</w:t>
            </w:r>
            <w:r w:rsidR="00B31289" w:rsidRPr="00072005">
              <w:rPr>
                <w:bCs/>
                <w:color w:val="A6A6A6" w:themeColor="background1" w:themeShade="A6"/>
                <w:sz w:val="16"/>
                <w:szCs w:val="16"/>
              </w:rPr>
              <w:fldChar w:fldCharType="end"/>
            </w:r>
            <w:r w:rsidRPr="00072005">
              <w:rPr>
                <w:color w:val="A6A6A6" w:themeColor="background1" w:themeShade="A6"/>
                <w:sz w:val="16"/>
                <w:szCs w:val="16"/>
              </w:rPr>
              <w:t xml:space="preserve"> of </w:t>
            </w:r>
            <w:r w:rsidR="00B31289" w:rsidRPr="00072005">
              <w:rPr>
                <w:bCs/>
                <w:color w:val="A6A6A6" w:themeColor="background1" w:themeShade="A6"/>
                <w:sz w:val="16"/>
                <w:szCs w:val="16"/>
              </w:rPr>
              <w:fldChar w:fldCharType="begin"/>
            </w:r>
            <w:r w:rsidRPr="00072005">
              <w:rPr>
                <w:bCs/>
                <w:color w:val="A6A6A6" w:themeColor="background1" w:themeShade="A6"/>
                <w:sz w:val="16"/>
                <w:szCs w:val="16"/>
              </w:rPr>
              <w:instrText xml:space="preserve"> NUMPAGES  </w:instrText>
            </w:r>
            <w:r w:rsidR="00B31289" w:rsidRPr="00072005">
              <w:rPr>
                <w:bCs/>
                <w:color w:val="A6A6A6" w:themeColor="background1" w:themeShade="A6"/>
                <w:sz w:val="16"/>
                <w:szCs w:val="16"/>
              </w:rPr>
              <w:fldChar w:fldCharType="separate"/>
            </w:r>
            <w:r w:rsidR="00C2168D">
              <w:rPr>
                <w:bCs/>
                <w:noProof/>
                <w:color w:val="A6A6A6" w:themeColor="background1" w:themeShade="A6"/>
                <w:sz w:val="16"/>
                <w:szCs w:val="16"/>
              </w:rPr>
              <w:t>4</w:t>
            </w:r>
            <w:r w:rsidR="00B31289" w:rsidRPr="00072005">
              <w:rPr>
                <w:bCs/>
                <w:color w:val="A6A6A6" w:themeColor="background1" w:themeShade="A6"/>
                <w:sz w:val="16"/>
                <w:szCs w:val="16"/>
              </w:rPr>
              <w:fldChar w:fldCharType="end"/>
            </w:r>
          </w:p>
        </w:sdtContent>
      </w:sdt>
    </w:sdtContent>
  </w:sdt>
  <w:p w:rsidR="00072005" w:rsidRPr="00BF0D46" w:rsidRDefault="00BF0D46">
    <w:pPr>
      <w:pStyle w:val="Footer"/>
      <w:rPr>
        <w:i/>
        <w:iCs/>
      </w:rPr>
    </w:pPr>
    <w:r w:rsidRPr="00BF0D46">
      <w:rPr>
        <w:i/>
        <w:iCs/>
      </w:rPr>
      <w:fldChar w:fldCharType="begin"/>
    </w:r>
    <w:r w:rsidRPr="00BF0D46">
      <w:rPr>
        <w:i/>
        <w:iCs/>
      </w:rPr>
      <w:instrText xml:space="preserve"> FILENAME   \* MERGEFORMAT </w:instrText>
    </w:r>
    <w:r w:rsidRPr="00BF0D46">
      <w:rPr>
        <w:i/>
        <w:iCs/>
      </w:rPr>
      <w:fldChar w:fldCharType="separate"/>
    </w:r>
    <w:r w:rsidR="008F7131">
      <w:rPr>
        <w:i/>
        <w:iCs/>
        <w:noProof/>
      </w:rPr>
      <w:t>181116 Target B Sendai reporting guidance notes draft clean.docx</w:t>
    </w:r>
    <w:r w:rsidRPr="00BF0D46">
      <w:rPr>
        <w:i/>
        <w:i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8D" w:rsidRDefault="00C21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96" w:rsidRDefault="00F96896" w:rsidP="00671D29">
      <w:pPr>
        <w:spacing w:after="0" w:line="240" w:lineRule="auto"/>
      </w:pPr>
      <w:r>
        <w:separator/>
      </w:r>
    </w:p>
  </w:footnote>
  <w:footnote w:type="continuationSeparator" w:id="0">
    <w:p w:rsidR="00F96896" w:rsidRDefault="00F96896" w:rsidP="00671D29">
      <w:pPr>
        <w:spacing w:after="0" w:line="240" w:lineRule="auto"/>
      </w:pPr>
      <w:r>
        <w:continuationSeparator/>
      </w:r>
    </w:p>
  </w:footnote>
  <w:footnote w:id="1">
    <w:p w:rsidR="00895716" w:rsidRDefault="00895716" w:rsidP="00895716">
      <w:pPr>
        <w:pStyle w:val="FootnoteText"/>
      </w:pPr>
      <w:r>
        <w:rPr>
          <w:rStyle w:val="FootnoteReference"/>
        </w:rPr>
        <w:footnoteRef/>
      </w:r>
      <w:r>
        <w:t xml:space="preserve"> Recognising the difficulties of assessing the full range of all affected (direct and indirect), the OIEWG recommended the use of an indicator that would estimate “directly affected” as more feasible than collecting data on indirectly affected.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8D" w:rsidRDefault="00C21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F6" w:rsidRPr="00822AF6" w:rsidRDefault="00C2168D" w:rsidP="00822AF6">
    <w:pPr>
      <w:pStyle w:val="Header"/>
      <w:rPr>
        <w:i/>
        <w:iCs/>
      </w:rPr>
    </w:pPr>
    <w:sdt>
      <w:sdtPr>
        <w:rPr>
          <w:i/>
          <w:iCs/>
        </w:rPr>
        <w:id w:val="-1236403570"/>
        <w:docPartObj>
          <w:docPartGallery w:val="Watermarks"/>
          <w:docPartUnique/>
        </w:docPartObj>
      </w:sdtPr>
      <w:sdtContent>
        <w:r w:rsidRPr="00C2168D">
          <w:rPr>
            <w:i/>
            <w:iCs/>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22AF6" w:rsidRPr="00822AF6">
      <w:rPr>
        <w:i/>
        <w:iCs/>
      </w:rPr>
      <w:t>Draft for review. Please do not quote or distribute further – thank you. WHO</w:t>
    </w:r>
  </w:p>
  <w:p w:rsidR="00060143" w:rsidRPr="00822AF6" w:rsidRDefault="00060143" w:rsidP="00822A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8D" w:rsidRDefault="00C21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B79"/>
    <w:multiLevelType w:val="multilevel"/>
    <w:tmpl w:val="FD3EC9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CA2BB3"/>
    <w:multiLevelType w:val="multilevel"/>
    <w:tmpl w:val="55307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F60008"/>
    <w:multiLevelType w:val="multilevel"/>
    <w:tmpl w:val="B38EF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081744"/>
    <w:multiLevelType w:val="multilevel"/>
    <w:tmpl w:val="FD3EC9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EC94851"/>
    <w:multiLevelType w:val="hybridMultilevel"/>
    <w:tmpl w:val="32B4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E57DB"/>
    <w:multiLevelType w:val="hybridMultilevel"/>
    <w:tmpl w:val="69BCD578"/>
    <w:lvl w:ilvl="0" w:tplc="069C0E8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217274"/>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B91F66"/>
    <w:multiLevelType w:val="multilevel"/>
    <w:tmpl w:val="68B09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982653"/>
    <w:multiLevelType w:val="hybridMultilevel"/>
    <w:tmpl w:val="FD429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E168C5"/>
    <w:multiLevelType w:val="multilevel"/>
    <w:tmpl w:val="4268F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FDC3E9E"/>
    <w:multiLevelType w:val="hybridMultilevel"/>
    <w:tmpl w:val="FD347B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921002"/>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1069CA"/>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5A0BDB"/>
    <w:multiLevelType w:val="hybridMultilevel"/>
    <w:tmpl w:val="1A20B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C16ADF"/>
    <w:multiLevelType w:val="multilevel"/>
    <w:tmpl w:val="76E6D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84B52F2"/>
    <w:multiLevelType w:val="hybridMultilevel"/>
    <w:tmpl w:val="6304F354"/>
    <w:lvl w:ilvl="0" w:tplc="009C9E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F22DF0"/>
    <w:multiLevelType w:val="hybridMultilevel"/>
    <w:tmpl w:val="33E08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A845C6"/>
    <w:multiLevelType w:val="hybridMultilevel"/>
    <w:tmpl w:val="EC8A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463F43"/>
    <w:multiLevelType w:val="multilevel"/>
    <w:tmpl w:val="57B29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94D1DC8"/>
    <w:multiLevelType w:val="hybridMultilevel"/>
    <w:tmpl w:val="7E2E41D0"/>
    <w:lvl w:ilvl="0" w:tplc="A544B05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024DB9"/>
    <w:multiLevelType w:val="multilevel"/>
    <w:tmpl w:val="E93E82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nsid w:val="633B09E4"/>
    <w:multiLevelType w:val="hybridMultilevel"/>
    <w:tmpl w:val="630E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291916"/>
    <w:multiLevelType w:val="hybridMultilevel"/>
    <w:tmpl w:val="2CCAB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482765"/>
    <w:multiLevelType w:val="hybridMultilevel"/>
    <w:tmpl w:val="C4186A50"/>
    <w:lvl w:ilvl="0" w:tplc="069C0E8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23"/>
  </w:num>
  <w:num w:numId="3">
    <w:abstractNumId w:val="2"/>
  </w:num>
  <w:num w:numId="4">
    <w:abstractNumId w:val="5"/>
  </w:num>
  <w:num w:numId="5">
    <w:abstractNumId w:val="10"/>
  </w:num>
  <w:num w:numId="6">
    <w:abstractNumId w:val="7"/>
  </w:num>
  <w:num w:numId="7">
    <w:abstractNumId w:val="9"/>
  </w:num>
  <w:num w:numId="8">
    <w:abstractNumId w:val="20"/>
  </w:num>
  <w:num w:numId="9">
    <w:abstractNumId w:val="1"/>
  </w:num>
  <w:num w:numId="10">
    <w:abstractNumId w:val="14"/>
  </w:num>
  <w:num w:numId="11">
    <w:abstractNumId w:val="15"/>
  </w:num>
  <w:num w:numId="12">
    <w:abstractNumId w:val="12"/>
  </w:num>
  <w:num w:numId="13">
    <w:abstractNumId w:val="11"/>
  </w:num>
  <w:num w:numId="14">
    <w:abstractNumId w:val="6"/>
  </w:num>
  <w:num w:numId="15">
    <w:abstractNumId w:val="19"/>
  </w:num>
  <w:num w:numId="16">
    <w:abstractNumId w:val="13"/>
  </w:num>
  <w:num w:numId="17">
    <w:abstractNumId w:val="4"/>
  </w:num>
  <w:num w:numId="18">
    <w:abstractNumId w:val="18"/>
  </w:num>
  <w:num w:numId="19">
    <w:abstractNumId w:val="16"/>
  </w:num>
  <w:num w:numId="20">
    <w:abstractNumId w:val="17"/>
  </w:num>
  <w:num w:numId="21">
    <w:abstractNumId w:val="21"/>
  </w:num>
  <w:num w:numId="22">
    <w:abstractNumId w:val="8"/>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75"/>
    <w:rsid w:val="000527F1"/>
    <w:rsid w:val="00060143"/>
    <w:rsid w:val="00072005"/>
    <w:rsid w:val="000762BC"/>
    <w:rsid w:val="000C1533"/>
    <w:rsid w:val="001335E7"/>
    <w:rsid w:val="0016673C"/>
    <w:rsid w:val="001A453D"/>
    <w:rsid w:val="001C041B"/>
    <w:rsid w:val="002533FD"/>
    <w:rsid w:val="00256D0E"/>
    <w:rsid w:val="00292258"/>
    <w:rsid w:val="0033521D"/>
    <w:rsid w:val="00354B93"/>
    <w:rsid w:val="00375E2D"/>
    <w:rsid w:val="0054760F"/>
    <w:rsid w:val="0059072C"/>
    <w:rsid w:val="005B291A"/>
    <w:rsid w:val="005D54AA"/>
    <w:rsid w:val="00607584"/>
    <w:rsid w:val="00671D29"/>
    <w:rsid w:val="00675563"/>
    <w:rsid w:val="0069259F"/>
    <w:rsid w:val="00692AC6"/>
    <w:rsid w:val="006F33FC"/>
    <w:rsid w:val="00722637"/>
    <w:rsid w:val="0075515D"/>
    <w:rsid w:val="007B6F7D"/>
    <w:rsid w:val="007F4C64"/>
    <w:rsid w:val="00822AF6"/>
    <w:rsid w:val="00830026"/>
    <w:rsid w:val="00867FDC"/>
    <w:rsid w:val="008743BC"/>
    <w:rsid w:val="00895716"/>
    <w:rsid w:val="008B171B"/>
    <w:rsid w:val="008F7131"/>
    <w:rsid w:val="0093488E"/>
    <w:rsid w:val="00934E4E"/>
    <w:rsid w:val="009F5446"/>
    <w:rsid w:val="009F6DC1"/>
    <w:rsid w:val="00A33F46"/>
    <w:rsid w:val="00AB49E1"/>
    <w:rsid w:val="00B226DE"/>
    <w:rsid w:val="00B31289"/>
    <w:rsid w:val="00B77555"/>
    <w:rsid w:val="00BA6975"/>
    <w:rsid w:val="00BF0D46"/>
    <w:rsid w:val="00C2168D"/>
    <w:rsid w:val="00C44E35"/>
    <w:rsid w:val="00CC6CFE"/>
    <w:rsid w:val="00D44219"/>
    <w:rsid w:val="00DB0C1E"/>
    <w:rsid w:val="00E70D5D"/>
    <w:rsid w:val="00E93108"/>
    <w:rsid w:val="00F81054"/>
    <w:rsid w:val="00F968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33F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75"/>
    <w:pPr>
      <w:ind w:left="720"/>
      <w:contextualSpacing/>
    </w:pPr>
  </w:style>
  <w:style w:type="table" w:styleId="TableGrid">
    <w:name w:val="Table Grid"/>
    <w:basedOn w:val="TableNormal"/>
    <w:uiPriority w:val="59"/>
    <w:rsid w:val="00B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3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9310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E931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uiPriority w:val="72"/>
    <w:rsid w:val="00E9310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1">
    <w:name w:val="Colorful List Accent 1"/>
    <w:basedOn w:val="TableNormal"/>
    <w:uiPriority w:val="72"/>
    <w:rsid w:val="00354B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354B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EndnoteText">
    <w:name w:val="endnote text"/>
    <w:basedOn w:val="Normal"/>
    <w:link w:val="EndnoteTextChar"/>
    <w:uiPriority w:val="99"/>
    <w:semiHidden/>
    <w:unhideWhenUsed/>
    <w:rsid w:val="00671D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D29"/>
    <w:rPr>
      <w:sz w:val="20"/>
      <w:szCs w:val="20"/>
    </w:rPr>
  </w:style>
  <w:style w:type="character" w:styleId="EndnoteReference">
    <w:name w:val="endnote reference"/>
    <w:basedOn w:val="DefaultParagraphFont"/>
    <w:uiPriority w:val="99"/>
    <w:semiHidden/>
    <w:unhideWhenUsed/>
    <w:rsid w:val="00671D29"/>
    <w:rPr>
      <w:vertAlign w:val="superscript"/>
    </w:rPr>
  </w:style>
  <w:style w:type="character" w:styleId="CommentReference">
    <w:name w:val="annotation reference"/>
    <w:basedOn w:val="DefaultParagraphFont"/>
    <w:uiPriority w:val="99"/>
    <w:semiHidden/>
    <w:unhideWhenUsed/>
    <w:rsid w:val="00292258"/>
    <w:rPr>
      <w:sz w:val="16"/>
      <w:szCs w:val="16"/>
    </w:rPr>
  </w:style>
  <w:style w:type="paragraph" w:styleId="CommentText">
    <w:name w:val="annotation text"/>
    <w:basedOn w:val="Normal"/>
    <w:link w:val="CommentTextChar"/>
    <w:uiPriority w:val="99"/>
    <w:semiHidden/>
    <w:unhideWhenUsed/>
    <w:rsid w:val="00292258"/>
    <w:pPr>
      <w:spacing w:line="240" w:lineRule="auto"/>
    </w:pPr>
    <w:rPr>
      <w:sz w:val="20"/>
      <w:szCs w:val="20"/>
    </w:rPr>
  </w:style>
  <w:style w:type="character" w:customStyle="1" w:styleId="CommentTextChar">
    <w:name w:val="Comment Text Char"/>
    <w:basedOn w:val="DefaultParagraphFont"/>
    <w:link w:val="CommentText"/>
    <w:uiPriority w:val="99"/>
    <w:semiHidden/>
    <w:rsid w:val="00292258"/>
    <w:rPr>
      <w:sz w:val="20"/>
      <w:szCs w:val="20"/>
    </w:rPr>
  </w:style>
  <w:style w:type="paragraph" w:styleId="BalloonText">
    <w:name w:val="Balloon Text"/>
    <w:basedOn w:val="Normal"/>
    <w:link w:val="BalloonTextChar"/>
    <w:uiPriority w:val="99"/>
    <w:semiHidden/>
    <w:unhideWhenUsed/>
    <w:rsid w:val="0029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5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92258"/>
    <w:rPr>
      <w:b/>
      <w:bCs/>
    </w:rPr>
  </w:style>
  <w:style w:type="character" w:customStyle="1" w:styleId="CommentSubjectChar">
    <w:name w:val="Comment Subject Char"/>
    <w:basedOn w:val="CommentTextChar"/>
    <w:link w:val="CommentSubject"/>
    <w:uiPriority w:val="99"/>
    <w:semiHidden/>
    <w:rsid w:val="00292258"/>
    <w:rPr>
      <w:b/>
      <w:bCs/>
      <w:sz w:val="20"/>
      <w:szCs w:val="20"/>
    </w:rPr>
  </w:style>
  <w:style w:type="paragraph" w:styleId="FootnoteText">
    <w:name w:val="footnote text"/>
    <w:basedOn w:val="Normal"/>
    <w:link w:val="FootnoteTextChar"/>
    <w:uiPriority w:val="99"/>
    <w:semiHidden/>
    <w:unhideWhenUsed/>
    <w:rsid w:val="007551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15D"/>
    <w:rPr>
      <w:sz w:val="20"/>
      <w:szCs w:val="20"/>
    </w:rPr>
  </w:style>
  <w:style w:type="character" w:styleId="FootnoteReference">
    <w:name w:val="footnote reference"/>
    <w:basedOn w:val="DefaultParagraphFont"/>
    <w:uiPriority w:val="99"/>
    <w:semiHidden/>
    <w:unhideWhenUsed/>
    <w:rsid w:val="0075515D"/>
    <w:rPr>
      <w:vertAlign w:val="superscript"/>
    </w:rPr>
  </w:style>
  <w:style w:type="paragraph" w:styleId="Header">
    <w:name w:val="header"/>
    <w:basedOn w:val="Normal"/>
    <w:link w:val="HeaderChar"/>
    <w:uiPriority w:val="99"/>
    <w:unhideWhenUsed/>
    <w:rsid w:val="00060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143"/>
  </w:style>
  <w:style w:type="paragraph" w:styleId="Footer">
    <w:name w:val="footer"/>
    <w:basedOn w:val="Normal"/>
    <w:link w:val="FooterChar"/>
    <w:uiPriority w:val="99"/>
    <w:unhideWhenUsed/>
    <w:rsid w:val="00060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143"/>
  </w:style>
  <w:style w:type="character" w:styleId="Hyperlink">
    <w:name w:val="Hyperlink"/>
    <w:basedOn w:val="DefaultParagraphFont"/>
    <w:uiPriority w:val="99"/>
    <w:unhideWhenUsed/>
    <w:rsid w:val="001C041B"/>
    <w:rPr>
      <w:color w:val="0000FF" w:themeColor="hyperlink"/>
      <w:u w:val="single"/>
    </w:rPr>
  </w:style>
  <w:style w:type="character" w:styleId="FollowedHyperlink">
    <w:name w:val="FollowedHyperlink"/>
    <w:basedOn w:val="DefaultParagraphFont"/>
    <w:uiPriority w:val="99"/>
    <w:semiHidden/>
    <w:unhideWhenUsed/>
    <w:rsid w:val="000C1533"/>
    <w:rPr>
      <w:color w:val="800080" w:themeColor="followedHyperlink"/>
      <w:u w:val="single"/>
    </w:rPr>
  </w:style>
  <w:style w:type="character" w:customStyle="1" w:styleId="Heading1Char">
    <w:name w:val="Heading 1 Char"/>
    <w:basedOn w:val="DefaultParagraphFont"/>
    <w:link w:val="Heading1"/>
    <w:uiPriority w:val="9"/>
    <w:rsid w:val="002533FD"/>
    <w:rPr>
      <w:rFonts w:ascii="Times New Roman" w:eastAsia="Times New Roman" w:hAnsi="Times New Roman" w:cs="Times New Roman"/>
      <w:b/>
      <w:bCs/>
      <w:kern w:val="36"/>
      <w:sz w:val="48"/>
      <w:szCs w:val="4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33F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75"/>
    <w:pPr>
      <w:ind w:left="720"/>
      <w:contextualSpacing/>
    </w:pPr>
  </w:style>
  <w:style w:type="table" w:styleId="TableGrid">
    <w:name w:val="Table Grid"/>
    <w:basedOn w:val="TableNormal"/>
    <w:uiPriority w:val="59"/>
    <w:rsid w:val="00B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3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9310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E931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uiPriority w:val="72"/>
    <w:rsid w:val="00E9310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1">
    <w:name w:val="Colorful List Accent 1"/>
    <w:basedOn w:val="TableNormal"/>
    <w:uiPriority w:val="72"/>
    <w:rsid w:val="00354B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354B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EndnoteText">
    <w:name w:val="endnote text"/>
    <w:basedOn w:val="Normal"/>
    <w:link w:val="EndnoteTextChar"/>
    <w:uiPriority w:val="99"/>
    <w:semiHidden/>
    <w:unhideWhenUsed/>
    <w:rsid w:val="00671D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D29"/>
    <w:rPr>
      <w:sz w:val="20"/>
      <w:szCs w:val="20"/>
    </w:rPr>
  </w:style>
  <w:style w:type="character" w:styleId="EndnoteReference">
    <w:name w:val="endnote reference"/>
    <w:basedOn w:val="DefaultParagraphFont"/>
    <w:uiPriority w:val="99"/>
    <w:semiHidden/>
    <w:unhideWhenUsed/>
    <w:rsid w:val="00671D29"/>
    <w:rPr>
      <w:vertAlign w:val="superscript"/>
    </w:rPr>
  </w:style>
  <w:style w:type="character" w:styleId="CommentReference">
    <w:name w:val="annotation reference"/>
    <w:basedOn w:val="DefaultParagraphFont"/>
    <w:uiPriority w:val="99"/>
    <w:semiHidden/>
    <w:unhideWhenUsed/>
    <w:rsid w:val="00292258"/>
    <w:rPr>
      <w:sz w:val="16"/>
      <w:szCs w:val="16"/>
    </w:rPr>
  </w:style>
  <w:style w:type="paragraph" w:styleId="CommentText">
    <w:name w:val="annotation text"/>
    <w:basedOn w:val="Normal"/>
    <w:link w:val="CommentTextChar"/>
    <w:uiPriority w:val="99"/>
    <w:semiHidden/>
    <w:unhideWhenUsed/>
    <w:rsid w:val="00292258"/>
    <w:pPr>
      <w:spacing w:line="240" w:lineRule="auto"/>
    </w:pPr>
    <w:rPr>
      <w:sz w:val="20"/>
      <w:szCs w:val="20"/>
    </w:rPr>
  </w:style>
  <w:style w:type="character" w:customStyle="1" w:styleId="CommentTextChar">
    <w:name w:val="Comment Text Char"/>
    <w:basedOn w:val="DefaultParagraphFont"/>
    <w:link w:val="CommentText"/>
    <w:uiPriority w:val="99"/>
    <w:semiHidden/>
    <w:rsid w:val="00292258"/>
    <w:rPr>
      <w:sz w:val="20"/>
      <w:szCs w:val="20"/>
    </w:rPr>
  </w:style>
  <w:style w:type="paragraph" w:styleId="BalloonText">
    <w:name w:val="Balloon Text"/>
    <w:basedOn w:val="Normal"/>
    <w:link w:val="BalloonTextChar"/>
    <w:uiPriority w:val="99"/>
    <w:semiHidden/>
    <w:unhideWhenUsed/>
    <w:rsid w:val="0029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5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92258"/>
    <w:rPr>
      <w:b/>
      <w:bCs/>
    </w:rPr>
  </w:style>
  <w:style w:type="character" w:customStyle="1" w:styleId="CommentSubjectChar">
    <w:name w:val="Comment Subject Char"/>
    <w:basedOn w:val="CommentTextChar"/>
    <w:link w:val="CommentSubject"/>
    <w:uiPriority w:val="99"/>
    <w:semiHidden/>
    <w:rsid w:val="00292258"/>
    <w:rPr>
      <w:b/>
      <w:bCs/>
      <w:sz w:val="20"/>
      <w:szCs w:val="20"/>
    </w:rPr>
  </w:style>
  <w:style w:type="paragraph" w:styleId="FootnoteText">
    <w:name w:val="footnote text"/>
    <w:basedOn w:val="Normal"/>
    <w:link w:val="FootnoteTextChar"/>
    <w:uiPriority w:val="99"/>
    <w:semiHidden/>
    <w:unhideWhenUsed/>
    <w:rsid w:val="007551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15D"/>
    <w:rPr>
      <w:sz w:val="20"/>
      <w:szCs w:val="20"/>
    </w:rPr>
  </w:style>
  <w:style w:type="character" w:styleId="FootnoteReference">
    <w:name w:val="footnote reference"/>
    <w:basedOn w:val="DefaultParagraphFont"/>
    <w:uiPriority w:val="99"/>
    <w:semiHidden/>
    <w:unhideWhenUsed/>
    <w:rsid w:val="0075515D"/>
    <w:rPr>
      <w:vertAlign w:val="superscript"/>
    </w:rPr>
  </w:style>
  <w:style w:type="paragraph" w:styleId="Header">
    <w:name w:val="header"/>
    <w:basedOn w:val="Normal"/>
    <w:link w:val="HeaderChar"/>
    <w:uiPriority w:val="99"/>
    <w:unhideWhenUsed/>
    <w:rsid w:val="00060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143"/>
  </w:style>
  <w:style w:type="paragraph" w:styleId="Footer">
    <w:name w:val="footer"/>
    <w:basedOn w:val="Normal"/>
    <w:link w:val="FooterChar"/>
    <w:uiPriority w:val="99"/>
    <w:unhideWhenUsed/>
    <w:rsid w:val="00060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143"/>
  </w:style>
  <w:style w:type="character" w:styleId="Hyperlink">
    <w:name w:val="Hyperlink"/>
    <w:basedOn w:val="DefaultParagraphFont"/>
    <w:uiPriority w:val="99"/>
    <w:unhideWhenUsed/>
    <w:rsid w:val="001C041B"/>
    <w:rPr>
      <w:color w:val="0000FF" w:themeColor="hyperlink"/>
      <w:u w:val="single"/>
    </w:rPr>
  </w:style>
  <w:style w:type="character" w:styleId="FollowedHyperlink">
    <w:name w:val="FollowedHyperlink"/>
    <w:basedOn w:val="DefaultParagraphFont"/>
    <w:uiPriority w:val="99"/>
    <w:semiHidden/>
    <w:unhideWhenUsed/>
    <w:rsid w:val="000C1533"/>
    <w:rPr>
      <w:color w:val="800080" w:themeColor="followedHyperlink"/>
      <w:u w:val="single"/>
    </w:rPr>
  </w:style>
  <w:style w:type="character" w:customStyle="1" w:styleId="Heading1Char">
    <w:name w:val="Heading 1 Char"/>
    <w:basedOn w:val="DefaultParagraphFont"/>
    <w:link w:val="Heading1"/>
    <w:uiPriority w:val="9"/>
    <w:rsid w:val="002533FD"/>
    <w:rPr>
      <w:rFonts w:ascii="Times New Roman" w:eastAsia="Times New Roman" w:hAnsi="Times New Roman" w:cs="Times New Roman"/>
      <w:b/>
      <w:bCs/>
      <w:kern w:val="36"/>
      <w:sz w:val="48"/>
      <w:szCs w:val="4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endaimonitor.unisd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067F13-192A-4D17-9610-37C30593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Rohaida Ismail</dc:creator>
  <cp:lastModifiedBy>Jonathan Abrahams</cp:lastModifiedBy>
  <cp:revision>6</cp:revision>
  <cp:lastPrinted>2018-11-07T15:50:00Z</cp:lastPrinted>
  <dcterms:created xsi:type="dcterms:W3CDTF">2018-11-17T11:57:00Z</dcterms:created>
  <dcterms:modified xsi:type="dcterms:W3CDTF">2018-11-18T11:38:00Z</dcterms:modified>
</cp:coreProperties>
</file>