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9913" w14:textId="08225664" w:rsidR="000B5D27" w:rsidRPr="000C169E" w:rsidRDefault="00CC1DE4" w:rsidP="007B7391">
      <w:pPr>
        <w:pStyle w:val="Heading1"/>
        <w:jc w:val="center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 xml:space="preserve">Technical </w:t>
      </w:r>
      <w:r w:rsidR="000B5D27" w:rsidRPr="000C169E">
        <w:rPr>
          <w:sz w:val="25"/>
          <w:szCs w:val="25"/>
        </w:rPr>
        <w:t xml:space="preserve">Workshop on Concepts and Guidance for Health Emergency </w:t>
      </w:r>
      <w:r w:rsidR="000C169E" w:rsidRPr="000C169E">
        <w:rPr>
          <w:sz w:val="25"/>
          <w:szCs w:val="25"/>
        </w:rPr>
        <w:t>and</w:t>
      </w:r>
      <w:r w:rsidR="000B5D27" w:rsidRPr="000C169E">
        <w:rPr>
          <w:sz w:val="25"/>
          <w:szCs w:val="25"/>
        </w:rPr>
        <w:t xml:space="preserve"> Disaster Risk Management: </w:t>
      </w:r>
    </w:p>
    <w:p w14:paraId="18E82D4A" w14:textId="7DF4D029" w:rsidR="009B057A" w:rsidRPr="000B5D27" w:rsidRDefault="007B7391" w:rsidP="000C169E">
      <w:pPr>
        <w:pStyle w:val="Heading1"/>
        <w:jc w:val="center"/>
        <w:rPr>
          <w:sz w:val="28"/>
          <w:szCs w:val="28"/>
        </w:rPr>
      </w:pPr>
      <w:r w:rsidRPr="000B5D27">
        <w:rPr>
          <w:sz w:val="28"/>
          <w:szCs w:val="28"/>
        </w:rPr>
        <w:t>Background paper</w:t>
      </w:r>
      <w:r w:rsidR="000B5D27">
        <w:rPr>
          <w:sz w:val="28"/>
          <w:szCs w:val="28"/>
        </w:rPr>
        <w:t xml:space="preserve"> for the </w:t>
      </w:r>
      <w:r w:rsidR="000C169E">
        <w:rPr>
          <w:sz w:val="28"/>
          <w:szCs w:val="28"/>
        </w:rPr>
        <w:t>G</w:t>
      </w:r>
      <w:r w:rsidR="000B5D27" w:rsidRPr="000B5D27">
        <w:rPr>
          <w:sz w:val="28"/>
          <w:szCs w:val="28"/>
        </w:rPr>
        <w:t>lossary</w:t>
      </w:r>
    </w:p>
    <w:p w14:paraId="39343471" w14:textId="26B5D0BC" w:rsidR="003C0FE8" w:rsidRPr="00A87E8F" w:rsidRDefault="003C0FE8" w:rsidP="00A87E8F">
      <w:pPr>
        <w:pStyle w:val="Heading2"/>
      </w:pPr>
      <w:bookmarkStart w:id="1" w:name="_Toc518303834"/>
      <w:r w:rsidRPr="00A87E8F">
        <w:t>Purpose of the Glossary</w:t>
      </w:r>
      <w:bookmarkEnd w:id="1"/>
    </w:p>
    <w:p w14:paraId="22CCA39A" w14:textId="2AAF5B49" w:rsidR="003C0FE8" w:rsidRPr="006759BF" w:rsidRDefault="003C0FE8" w:rsidP="001E14E3">
      <w:r w:rsidRPr="006759BF">
        <w:t xml:space="preserve">The </w:t>
      </w:r>
      <w:r w:rsidRPr="006759BF">
        <w:rPr>
          <w:i/>
          <w:lang w:val="en-US"/>
        </w:rPr>
        <w:t xml:space="preserve">Glossary of Health Emergency </w:t>
      </w:r>
      <w:r w:rsidR="00BE2E9D">
        <w:rPr>
          <w:i/>
          <w:lang w:val="en-US"/>
        </w:rPr>
        <w:t xml:space="preserve">and Disaster </w:t>
      </w:r>
      <w:r w:rsidRPr="006759BF">
        <w:rPr>
          <w:i/>
          <w:lang w:val="en-US"/>
        </w:rPr>
        <w:t xml:space="preserve">Risk Management </w:t>
      </w:r>
      <w:r w:rsidRPr="006759BF">
        <w:t xml:space="preserve">aims to promote common understanding and common usage of </w:t>
      </w:r>
      <w:r w:rsidR="00BE2E9D">
        <w:t xml:space="preserve">concepts, terms and definitions for </w:t>
      </w:r>
      <w:r w:rsidRPr="006759BF">
        <w:t xml:space="preserve">health emergency </w:t>
      </w:r>
      <w:r w:rsidR="00BE2E9D">
        <w:t xml:space="preserve">and disaster </w:t>
      </w:r>
      <w:r w:rsidRPr="006759BF">
        <w:t>risk management</w:t>
      </w:r>
      <w:r w:rsidR="001E14E3">
        <w:t xml:space="preserve"> (Health EDRM)</w:t>
      </w:r>
      <w:r w:rsidRPr="006759BF">
        <w:t xml:space="preserve">. It has several applications </w:t>
      </w:r>
      <w:r w:rsidR="00A87E8F">
        <w:t xml:space="preserve">to </w:t>
      </w:r>
      <w:r w:rsidR="001E14E3">
        <w:t>H</w:t>
      </w:r>
      <w:r w:rsidRPr="006759BF">
        <w:t>ealth</w:t>
      </w:r>
      <w:r w:rsidR="001E14E3">
        <w:t xml:space="preserve"> EDRM</w:t>
      </w:r>
      <w:r w:rsidRPr="006759BF">
        <w:t xml:space="preserve"> including:</w:t>
      </w:r>
    </w:p>
    <w:p w14:paraId="1FAD088A" w14:textId="77777777" w:rsidR="003C0FE8" w:rsidRPr="006759BF" w:rsidRDefault="003C0FE8" w:rsidP="003C0FE8">
      <w:pPr>
        <w:pStyle w:val="ListParagraph"/>
        <w:numPr>
          <w:ilvl w:val="0"/>
          <w:numId w:val="6"/>
        </w:numPr>
        <w:ind w:left="714" w:hanging="357"/>
        <w:contextualSpacing w:val="0"/>
      </w:pPr>
      <w:r>
        <w:t xml:space="preserve">policy, planning, practice and </w:t>
      </w:r>
      <w:r w:rsidRPr="006759BF">
        <w:t>communication within the health sector and with other sectors, communities and other stakeholders;</w:t>
      </w:r>
    </w:p>
    <w:p w14:paraId="4C2D5572" w14:textId="634188F2" w:rsidR="003C0FE8" w:rsidRPr="006759BF" w:rsidRDefault="003C0FE8" w:rsidP="001E14E3">
      <w:pPr>
        <w:pStyle w:val="ListParagraph"/>
        <w:numPr>
          <w:ilvl w:val="0"/>
          <w:numId w:val="6"/>
        </w:numPr>
        <w:ind w:left="714" w:hanging="357"/>
        <w:contextualSpacing w:val="0"/>
      </w:pPr>
      <w:r w:rsidRPr="006759BF">
        <w:t>data standards and indicators for assessment, planning, monitor</w:t>
      </w:r>
      <w:r w:rsidR="001E14E3">
        <w:t>ing, reporting and evaluation</w:t>
      </w:r>
      <w:r w:rsidRPr="006759BF">
        <w:t>;</w:t>
      </w:r>
    </w:p>
    <w:p w14:paraId="0233E2EA" w14:textId="77777777" w:rsidR="003C0FE8" w:rsidRPr="006759BF" w:rsidRDefault="003C0FE8" w:rsidP="003C0FE8">
      <w:pPr>
        <w:pStyle w:val="ListParagraph"/>
        <w:numPr>
          <w:ilvl w:val="0"/>
          <w:numId w:val="6"/>
        </w:numPr>
        <w:ind w:left="714" w:hanging="357"/>
        <w:contextualSpacing w:val="0"/>
      </w:pPr>
      <w:r w:rsidRPr="006759BF">
        <w:t>technical guidance and assistance to practitioners and policy-makers at all levels; and</w:t>
      </w:r>
    </w:p>
    <w:p w14:paraId="1B94DF16" w14:textId="77777777" w:rsidR="003C0FE8" w:rsidRPr="006759BF" w:rsidRDefault="003C0FE8" w:rsidP="003C0FE8">
      <w:pPr>
        <w:pStyle w:val="ListParagraph"/>
        <w:numPr>
          <w:ilvl w:val="0"/>
          <w:numId w:val="6"/>
        </w:numPr>
        <w:ind w:left="714" w:hanging="357"/>
        <w:contextualSpacing w:val="0"/>
      </w:pPr>
      <w:r w:rsidRPr="006759BF">
        <w:t>learning, research and knowledge management.</w:t>
      </w:r>
    </w:p>
    <w:p w14:paraId="393F0BB0" w14:textId="28158CC6" w:rsidR="003C0FE8" w:rsidRPr="006759BF" w:rsidRDefault="003C0FE8" w:rsidP="00A87E8F">
      <w:pPr>
        <w:pStyle w:val="Heading2"/>
      </w:pPr>
      <w:bookmarkStart w:id="2" w:name="_Toc518303835"/>
      <w:bookmarkStart w:id="3" w:name="_Hlk517895116"/>
      <w:r>
        <w:t>Scope</w:t>
      </w:r>
      <w:r w:rsidRPr="006759BF">
        <w:t xml:space="preserve"> of the </w:t>
      </w:r>
      <w:r w:rsidRPr="006759BF">
        <w:rPr>
          <w:i/>
        </w:rPr>
        <w:t>Glossary</w:t>
      </w:r>
      <w:bookmarkEnd w:id="2"/>
      <w:bookmarkEnd w:id="3"/>
    </w:p>
    <w:p w14:paraId="67B62D4F" w14:textId="02AEE66A" w:rsidR="00007A0D" w:rsidRDefault="003C0FE8" w:rsidP="001E14E3">
      <w:r>
        <w:t xml:space="preserve">The </w:t>
      </w:r>
      <w:r>
        <w:rPr>
          <w:i/>
        </w:rPr>
        <w:t>Glossary</w:t>
      </w:r>
      <w:r>
        <w:t xml:space="preserve"> </w:t>
      </w:r>
      <w:r w:rsidRPr="006759BF">
        <w:t>include</w:t>
      </w:r>
      <w:r>
        <w:t>s</w:t>
      </w:r>
      <w:r w:rsidRPr="006759BF">
        <w:t xml:space="preserve"> </w:t>
      </w:r>
      <w:r w:rsidR="00BE2E9D">
        <w:t xml:space="preserve">concepts, </w:t>
      </w:r>
      <w:r w:rsidRPr="006759BF">
        <w:t>terms and definitions that are</w:t>
      </w:r>
      <w:r>
        <w:t xml:space="preserve"> </w:t>
      </w:r>
      <w:r w:rsidRPr="006759BF">
        <w:t xml:space="preserve">likely to be </w:t>
      </w:r>
      <w:r>
        <w:t xml:space="preserve">encountered and commonly </w:t>
      </w:r>
      <w:r w:rsidRPr="006759BF">
        <w:t xml:space="preserve">required </w:t>
      </w:r>
      <w:r>
        <w:t xml:space="preserve">by policy-makers and practitioners </w:t>
      </w:r>
      <w:r w:rsidRPr="006759BF">
        <w:t xml:space="preserve">in health </w:t>
      </w:r>
      <w:r w:rsidR="001E14E3">
        <w:t>EDRM</w:t>
      </w:r>
      <w:r>
        <w:t xml:space="preserve">, i.e. </w:t>
      </w:r>
      <w:r w:rsidRPr="006759BF">
        <w:t>the systematic analysis and management of health risks posed by emergencies and disasters, through a combination of</w:t>
      </w:r>
      <w:r w:rsidR="00007A0D">
        <w:t>:</w:t>
      </w:r>
    </w:p>
    <w:p w14:paraId="6774B915" w14:textId="5598FE82" w:rsidR="00AC57DD" w:rsidRDefault="003C0FE8" w:rsidP="00AC57DD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6759BF">
        <w:t>hazard and vulnerability reduction to prevent and mitigate risks</w:t>
      </w:r>
      <w:r w:rsidR="00AC57DD">
        <w:t>;</w:t>
      </w:r>
    </w:p>
    <w:p w14:paraId="3B166AF2" w14:textId="5F00B6C5" w:rsidR="00AC57DD" w:rsidRDefault="003C0FE8" w:rsidP="00AC57DD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6759BF">
        <w:t>preparedness</w:t>
      </w:r>
      <w:r w:rsidR="00AC57DD">
        <w:t>;</w:t>
      </w:r>
    </w:p>
    <w:p w14:paraId="331818A3" w14:textId="298304B9" w:rsidR="00AC57DD" w:rsidRDefault="003C0FE8" w:rsidP="00AC57DD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6759BF">
        <w:t>response</w:t>
      </w:r>
      <w:r w:rsidR="00AC57DD">
        <w:t>;</w:t>
      </w:r>
      <w:r w:rsidRPr="006759BF">
        <w:t xml:space="preserve"> and </w:t>
      </w:r>
    </w:p>
    <w:p w14:paraId="42B02E5D" w14:textId="62048BA3" w:rsidR="003C0FE8" w:rsidRPr="00AC57DD" w:rsidRDefault="003C0FE8" w:rsidP="00AC57DD">
      <w:pPr>
        <w:pStyle w:val="ListParagraph"/>
        <w:numPr>
          <w:ilvl w:val="0"/>
          <w:numId w:val="8"/>
        </w:numPr>
        <w:ind w:left="714" w:hanging="357"/>
        <w:contextualSpacing w:val="0"/>
        <w:rPr>
          <w:b/>
          <w:sz w:val="24"/>
          <w:szCs w:val="24"/>
        </w:rPr>
      </w:pPr>
      <w:r w:rsidRPr="006759BF">
        <w:t xml:space="preserve">recovery measures. </w:t>
      </w:r>
    </w:p>
    <w:p w14:paraId="4A3D375E" w14:textId="77777777" w:rsidR="00007A0D" w:rsidRPr="006759BF" w:rsidRDefault="00007A0D" w:rsidP="00A87E8F">
      <w:pPr>
        <w:pStyle w:val="Heading2"/>
      </w:pPr>
      <w:r w:rsidRPr="006759BF">
        <w:t xml:space="preserve">Principles for </w:t>
      </w:r>
      <w:r w:rsidRPr="003C0FE8">
        <w:t>development</w:t>
      </w:r>
      <w:r>
        <w:t xml:space="preserve"> </w:t>
      </w:r>
      <w:bookmarkStart w:id="4" w:name="_Hlk517895062"/>
      <w:r>
        <w:t xml:space="preserve">of the </w:t>
      </w:r>
      <w:r w:rsidRPr="00A3119B">
        <w:rPr>
          <w:i/>
        </w:rPr>
        <w:t>Glossary</w:t>
      </w:r>
      <w:bookmarkEnd w:id="4"/>
    </w:p>
    <w:p w14:paraId="2981DAE1" w14:textId="77777777" w:rsidR="00007A0D" w:rsidRPr="006759BF" w:rsidRDefault="00007A0D" w:rsidP="00007A0D">
      <w:pPr>
        <w:rPr>
          <w:color w:val="000000" w:themeColor="text1"/>
        </w:rPr>
      </w:pPr>
      <w:r w:rsidRPr="006759BF">
        <w:rPr>
          <w:color w:val="000000" w:themeColor="text1"/>
        </w:rPr>
        <w:t xml:space="preserve">The development of the </w:t>
      </w:r>
      <w:r w:rsidRPr="006759BF">
        <w:rPr>
          <w:i/>
          <w:color w:val="000000" w:themeColor="text1"/>
        </w:rPr>
        <w:t>Glossary</w:t>
      </w:r>
      <w:r w:rsidRPr="006759BF">
        <w:rPr>
          <w:color w:val="000000" w:themeColor="text1"/>
        </w:rPr>
        <w:t xml:space="preserve"> was based on the following principles. It should:</w:t>
      </w:r>
    </w:p>
    <w:p w14:paraId="75B6B962" w14:textId="475A6684" w:rsidR="00007A0D" w:rsidRPr="006759BF" w:rsidRDefault="00007A0D" w:rsidP="00007A0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6759BF">
        <w:t xml:space="preserve">have an explicit and recognisable </w:t>
      </w:r>
      <w:r w:rsidR="00A87E8F">
        <w:t xml:space="preserve">purpose and </w:t>
      </w:r>
      <w:r w:rsidRPr="006759BF">
        <w:t>scope;</w:t>
      </w:r>
    </w:p>
    <w:p w14:paraId="7DF2E806" w14:textId="77777777" w:rsidR="00007A0D" w:rsidRPr="006759BF" w:rsidRDefault="00007A0D" w:rsidP="00007A0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6759BF">
        <w:t xml:space="preserve">meet the needs of its audience; </w:t>
      </w:r>
    </w:p>
    <w:p w14:paraId="6ABC1F18" w14:textId="78C035DF" w:rsidR="00007A0D" w:rsidRPr="006759BF" w:rsidRDefault="00007A0D" w:rsidP="00007A0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6759BF">
        <w:t xml:space="preserve">include </w:t>
      </w:r>
      <w:r w:rsidR="00BE2E9D">
        <w:t xml:space="preserve">concepts, </w:t>
      </w:r>
      <w:r w:rsidRPr="006759BF">
        <w:t>terms and definitions that are–</w:t>
      </w:r>
    </w:p>
    <w:p w14:paraId="4E01D1BB" w14:textId="0EB2C595" w:rsidR="00007A0D" w:rsidRPr="006759BF" w:rsidRDefault="00007A0D" w:rsidP="001E14E3">
      <w:pPr>
        <w:pStyle w:val="ListParagraph"/>
        <w:numPr>
          <w:ilvl w:val="0"/>
          <w:numId w:val="2"/>
        </w:numPr>
        <w:ind w:left="1077" w:hanging="357"/>
        <w:contextualSpacing w:val="0"/>
      </w:pPr>
      <w:r w:rsidRPr="006759BF">
        <w:t>likely to be</w:t>
      </w:r>
      <w:r w:rsidR="001E14E3">
        <w:t xml:space="preserve"> required in communications on H</w:t>
      </w:r>
      <w:r w:rsidRPr="006759BF">
        <w:t xml:space="preserve">ealth </w:t>
      </w:r>
      <w:r w:rsidR="001E14E3">
        <w:t>EDRM</w:t>
      </w:r>
      <w:r w:rsidRPr="006759BF">
        <w:t>,</w:t>
      </w:r>
    </w:p>
    <w:p w14:paraId="36D7CFFF" w14:textId="77777777" w:rsidR="00007A0D" w:rsidRPr="006759BF" w:rsidRDefault="00007A0D" w:rsidP="00007A0D">
      <w:pPr>
        <w:pStyle w:val="ListParagraph"/>
        <w:numPr>
          <w:ilvl w:val="0"/>
          <w:numId w:val="2"/>
        </w:numPr>
        <w:ind w:left="1077" w:hanging="357"/>
        <w:contextualSpacing w:val="0"/>
      </w:pPr>
      <w:r w:rsidRPr="006759BF">
        <w:t>specialist in nature, not commonly-understood terms, e.g. 'organization',</w:t>
      </w:r>
    </w:p>
    <w:p w14:paraId="1053340B" w14:textId="77777777" w:rsidR="00007A0D" w:rsidRPr="006759BF" w:rsidRDefault="00007A0D" w:rsidP="00007A0D">
      <w:pPr>
        <w:pStyle w:val="ListParagraph"/>
        <w:numPr>
          <w:ilvl w:val="0"/>
          <w:numId w:val="2"/>
        </w:numPr>
        <w:ind w:left="1077" w:hanging="357"/>
        <w:contextualSpacing w:val="0"/>
      </w:pPr>
      <w:r w:rsidRPr="006759BF">
        <w:t>written in concise and plain language amenable to translation into the other official WHO languages,</w:t>
      </w:r>
      <w:r>
        <w:t xml:space="preserve"> and</w:t>
      </w:r>
    </w:p>
    <w:p w14:paraId="63004BA2" w14:textId="77777777" w:rsidR="00007A0D" w:rsidRDefault="00007A0D" w:rsidP="00007A0D">
      <w:pPr>
        <w:pStyle w:val="ListParagraph"/>
        <w:numPr>
          <w:ilvl w:val="0"/>
          <w:numId w:val="2"/>
        </w:numPr>
        <w:ind w:left="1077" w:hanging="357"/>
        <w:contextualSpacing w:val="0"/>
      </w:pPr>
      <w:r w:rsidRPr="006759BF">
        <w:t>clear and consistent in distinctions within a coherent set of concepts</w:t>
      </w:r>
      <w:r>
        <w:t xml:space="preserve">; </w:t>
      </w:r>
    </w:p>
    <w:p w14:paraId="1D626430" w14:textId="298E3F23" w:rsidR="00007A0D" w:rsidRDefault="00007A0D" w:rsidP="00117A5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6759BF">
        <w:t xml:space="preserve">not contain new </w:t>
      </w:r>
      <w:r w:rsidR="00117A5D">
        <w:t xml:space="preserve">concepts, </w:t>
      </w:r>
      <w:r w:rsidRPr="006759BF">
        <w:t>terms or definitions</w:t>
      </w:r>
      <w:r>
        <w:t>, although some may require further explanation;</w:t>
      </w:r>
      <w:r w:rsidRPr="00165238">
        <w:t xml:space="preserve"> </w:t>
      </w:r>
      <w:r>
        <w:t>and</w:t>
      </w:r>
    </w:p>
    <w:p w14:paraId="62AA5336" w14:textId="77777777" w:rsidR="00007A0D" w:rsidRDefault="00007A0D" w:rsidP="00007A0D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use a </w:t>
      </w:r>
      <w:r w:rsidRPr="00165238">
        <w:t>rigorous</w:t>
      </w:r>
      <w:r>
        <w:t>,</w:t>
      </w:r>
      <w:r w:rsidRPr="00165238">
        <w:t xml:space="preserve"> evidence</w:t>
      </w:r>
      <w:r>
        <w:t>-</w:t>
      </w:r>
      <w:r w:rsidRPr="00165238">
        <w:t>based and rational system</w:t>
      </w:r>
      <w:r>
        <w:t xml:space="preserve"> to achieve these principles.</w:t>
      </w:r>
    </w:p>
    <w:p w14:paraId="48300636" w14:textId="77777777" w:rsidR="00A87E8F" w:rsidRDefault="00A87E8F">
      <w:pPr>
        <w:rPr>
          <w:rFonts w:eastAsiaTheme="majorEastAsia" w:cstheme="majorBidi"/>
          <w:b/>
          <w:color w:val="0070C0"/>
          <w:sz w:val="24"/>
          <w:szCs w:val="24"/>
        </w:rPr>
      </w:pPr>
      <w:bookmarkStart w:id="5" w:name="_Toc518303843"/>
      <w:r>
        <w:br w:type="page"/>
      </w:r>
    </w:p>
    <w:p w14:paraId="7F24BB8D" w14:textId="3D462CC3" w:rsidR="00A91F38" w:rsidRPr="006759BF" w:rsidRDefault="00A87E8F" w:rsidP="00A87E8F">
      <w:pPr>
        <w:pStyle w:val="Heading2"/>
      </w:pPr>
      <w:r>
        <w:lastRenderedPageBreak/>
        <w:t>Criteria for a</w:t>
      </w:r>
      <w:r w:rsidR="00A91F38" w:rsidRPr="006759BF">
        <w:t>ssessing the use of existing glossaries</w:t>
      </w:r>
      <w:bookmarkEnd w:id="5"/>
    </w:p>
    <w:p w14:paraId="3F3C1B84" w14:textId="77777777" w:rsidR="00A91F38" w:rsidRPr="006759BF" w:rsidRDefault="00A91F38" w:rsidP="00A91F38">
      <w:bookmarkStart w:id="6" w:name="_Hlk517895272"/>
      <w:r w:rsidRPr="006759BF">
        <w:t xml:space="preserve">The </w:t>
      </w:r>
      <w:r>
        <w:t xml:space="preserve">inclusion </w:t>
      </w:r>
      <w:r w:rsidRPr="006759BF">
        <w:t>criteria for assessing the use of existing glossaries</w:t>
      </w:r>
      <w:bookmarkEnd w:id="6"/>
      <w:r w:rsidRPr="006759BF">
        <w:t xml:space="preserve"> are that they:</w:t>
      </w:r>
    </w:p>
    <w:p w14:paraId="7FF86433" w14:textId="2D0E08F4" w:rsidR="00A91F38" w:rsidRDefault="00A91F38" w:rsidP="001E14E3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6759BF">
        <w:t xml:space="preserve">contain </w:t>
      </w:r>
      <w:r w:rsidR="00BE2E9D">
        <w:t xml:space="preserve">concepts and </w:t>
      </w:r>
      <w:r w:rsidRPr="006759BF">
        <w:t xml:space="preserve">terms likely to be useful in </w:t>
      </w:r>
      <w:r>
        <w:t xml:space="preserve">policy, planning, practice and </w:t>
      </w:r>
      <w:r w:rsidRPr="006759BF">
        <w:t>communications on H</w:t>
      </w:r>
      <w:r w:rsidR="00BE2E9D">
        <w:t xml:space="preserve">ealth </w:t>
      </w:r>
      <w:r w:rsidRPr="006759BF">
        <w:t>E</w:t>
      </w:r>
      <w:r w:rsidR="00BE2E9D">
        <w:t>D</w:t>
      </w:r>
      <w:r w:rsidRPr="006759BF">
        <w:t>RM;</w:t>
      </w:r>
      <w:r>
        <w:t xml:space="preserve"> </w:t>
      </w:r>
    </w:p>
    <w:p w14:paraId="77290324" w14:textId="77777777" w:rsidR="00A91F38" w:rsidRPr="006759BF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6759BF">
        <w:t xml:space="preserve">are internationally-agreed at the highest </w:t>
      </w:r>
      <w:r>
        <w:t>levels</w:t>
      </w:r>
      <w:r>
        <w:rPr>
          <w:rStyle w:val="FootnoteReference"/>
        </w:rPr>
        <w:footnoteReference w:id="1"/>
      </w:r>
      <w:r w:rsidRPr="006759BF">
        <w:t>;</w:t>
      </w:r>
    </w:p>
    <w:p w14:paraId="7B6A7DC7" w14:textId="16159E7F" w:rsidR="00A91F38" w:rsidRPr="006759BF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6759BF">
        <w:t xml:space="preserve">are intended for a multi-sectoral audience and contain multi-sectoral </w:t>
      </w:r>
      <w:r w:rsidR="00BE2E9D">
        <w:t xml:space="preserve">concepts, </w:t>
      </w:r>
      <w:r w:rsidRPr="006759BF">
        <w:t>terms and definitions;</w:t>
      </w:r>
    </w:p>
    <w:p w14:paraId="3F682551" w14:textId="77777777" w:rsidR="00A91F38" w:rsidRPr="006759BF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6759BF">
        <w:t>have an appropriate scope and coverage; and</w:t>
      </w:r>
    </w:p>
    <w:p w14:paraId="196C6F2B" w14:textId="566E213D" w:rsidR="00A91F38" w:rsidRPr="006759BF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6759BF">
        <w:t>have an internal consistency of</w:t>
      </w:r>
      <w:r w:rsidR="00BE2E9D">
        <w:t xml:space="preserve"> concepts,</w:t>
      </w:r>
      <w:r w:rsidRPr="006759BF">
        <w:t xml:space="preserve"> terms and definitions.</w:t>
      </w:r>
    </w:p>
    <w:p w14:paraId="6FF176D2" w14:textId="77777777" w:rsidR="00A91F38" w:rsidRPr="006759BF" w:rsidRDefault="00A91F38" w:rsidP="00A91F38">
      <w:r w:rsidRPr="006759BF">
        <w:t>The</w:t>
      </w:r>
      <w:r>
        <w:t xml:space="preserve"> exclusion</w:t>
      </w:r>
      <w:r w:rsidRPr="006759BF">
        <w:t xml:space="preserve"> criteria for assessing the use of existing glossaries are that they:</w:t>
      </w:r>
    </w:p>
    <w:p w14:paraId="1D684AF4" w14:textId="634E17E7" w:rsidR="00A91F38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6759BF">
        <w:t xml:space="preserve">are </w:t>
      </w:r>
      <w:r>
        <w:t xml:space="preserve">not </w:t>
      </w:r>
      <w:r w:rsidRPr="006759BF">
        <w:t>recent and current;</w:t>
      </w:r>
      <w:r>
        <w:t xml:space="preserve"> and</w:t>
      </w:r>
    </w:p>
    <w:p w14:paraId="45104570" w14:textId="536E460D" w:rsidR="00A91F38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are not internationally-agreed, e.g. national glossaries.</w:t>
      </w:r>
    </w:p>
    <w:p w14:paraId="49777C2E" w14:textId="50C33501" w:rsidR="00A91F38" w:rsidRPr="006759BF" w:rsidRDefault="00012CDA" w:rsidP="00A91F38">
      <w:r>
        <w:t>Using these criteria, t</w:t>
      </w:r>
      <w:r w:rsidR="00A91F38" w:rsidRPr="006759BF">
        <w:t xml:space="preserve">he following glossaries </w:t>
      </w:r>
      <w:r>
        <w:t xml:space="preserve">have been considered </w:t>
      </w:r>
      <w:r w:rsidR="00A91F38" w:rsidRPr="006759BF">
        <w:t xml:space="preserve">acceptable </w:t>
      </w:r>
      <w:r w:rsidR="00A91F38">
        <w:t>in the following order</w:t>
      </w:r>
      <w:r w:rsidR="00A91F38" w:rsidRPr="006759BF">
        <w:t>:</w:t>
      </w:r>
    </w:p>
    <w:p w14:paraId="07E3C66F" w14:textId="77777777" w:rsidR="00A91F38" w:rsidRPr="006759BF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1340F5">
        <w:t xml:space="preserve">United Nations General Assembly. 2016. </w:t>
      </w:r>
      <w:r w:rsidRPr="007936CF">
        <w:rPr>
          <w:i/>
        </w:rPr>
        <w:t>Report of the open-ended intergovernmental expert working group on indicators and terminology relating to disaster risk reduction</w:t>
      </w:r>
      <w:r w:rsidRPr="001340F5">
        <w:t>. A/71/644. (endorsed February 2nd, 2017)</w:t>
      </w:r>
      <w:r>
        <w:t>;</w:t>
      </w:r>
    </w:p>
    <w:p w14:paraId="48403C02" w14:textId="77777777" w:rsidR="00A91F38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7020E5">
        <w:t xml:space="preserve">WHO. 2016. </w:t>
      </w:r>
      <w:r w:rsidRPr="007936CF">
        <w:rPr>
          <w:i/>
        </w:rPr>
        <w:t>International Health Regulations 2005</w:t>
      </w:r>
      <w:r w:rsidRPr="007020E5">
        <w:t>, 3rd edition</w:t>
      </w:r>
      <w:r>
        <w:t>;</w:t>
      </w:r>
    </w:p>
    <w:p w14:paraId="634AEE98" w14:textId="77777777" w:rsidR="00A91F38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WHO. 2015a. </w:t>
      </w:r>
      <w:r w:rsidRPr="007936CF">
        <w:rPr>
          <w:i/>
        </w:rPr>
        <w:t>Framework for a Public Health Emergency Operations Centre</w:t>
      </w:r>
      <w:r>
        <w:t>;</w:t>
      </w:r>
    </w:p>
    <w:p w14:paraId="4CB01D34" w14:textId="77777777" w:rsidR="00A91F38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I</w:t>
      </w:r>
      <w:r w:rsidRPr="007020E5">
        <w:t>PCC</w:t>
      </w:r>
      <w:r>
        <w:t>.</w:t>
      </w:r>
      <w:r w:rsidRPr="007020E5">
        <w:t xml:space="preserve"> 2012</w:t>
      </w:r>
      <w:r>
        <w:t>.</w:t>
      </w:r>
      <w:r w:rsidRPr="007020E5">
        <w:t xml:space="preserve"> </w:t>
      </w:r>
      <w:r w:rsidRPr="007936CF">
        <w:rPr>
          <w:i/>
        </w:rPr>
        <w:t>Managing the Risks of Extreme Events and Disasters to Advance Climate Change Adaptation. A Special Report of Working Groups I and II of the Intergovernmental Panel on Climate Change</w:t>
      </w:r>
      <w:r>
        <w:t>.</w:t>
      </w:r>
      <w:r w:rsidRPr="007020E5">
        <w:t xml:space="preserve"> Cambridge University Press, Cambridge, UK, and New York, NY, USA</w:t>
      </w:r>
      <w:r>
        <w:t xml:space="preserve">; </w:t>
      </w:r>
    </w:p>
    <w:p w14:paraId="1B5D2185" w14:textId="77777777" w:rsidR="00A91F38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7020E5">
        <w:t xml:space="preserve">WHO. 2017. </w:t>
      </w:r>
      <w:r w:rsidRPr="007936CF">
        <w:rPr>
          <w:i/>
        </w:rPr>
        <w:t>Emergency Response Framework (ERF)</w:t>
      </w:r>
      <w:r>
        <w:t>;</w:t>
      </w:r>
    </w:p>
    <w:p w14:paraId="5EDBA5AF" w14:textId="77777777" w:rsidR="00A91F38" w:rsidRPr="00374833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  <w:rPr>
          <w:color w:val="000000" w:themeColor="text1"/>
        </w:rPr>
      </w:pPr>
      <w:r w:rsidRPr="00374833">
        <w:rPr>
          <w:color w:val="000000" w:themeColor="text1"/>
        </w:rPr>
        <w:t xml:space="preserve">WHO. 2015b. </w:t>
      </w:r>
      <w:r w:rsidRPr="007936CF">
        <w:rPr>
          <w:i/>
          <w:color w:val="000000" w:themeColor="text1"/>
        </w:rPr>
        <w:t>Public health for mass gatherings: Key considerations</w:t>
      </w:r>
      <w:r w:rsidRPr="00374833">
        <w:rPr>
          <w:color w:val="000000" w:themeColor="text1"/>
        </w:rPr>
        <w:t>;</w:t>
      </w:r>
    </w:p>
    <w:p w14:paraId="2B701786" w14:textId="77777777" w:rsidR="00A91F38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other WHO publications where some terms add value; and</w:t>
      </w:r>
    </w:p>
    <w:p w14:paraId="06432735" w14:textId="77777777" w:rsidR="00A91F38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ISO publications where some terms add value.</w:t>
      </w:r>
    </w:p>
    <w:p w14:paraId="48824AAC" w14:textId="4A58CF38" w:rsidR="00A91F38" w:rsidRPr="006759BF" w:rsidRDefault="00BE2E9D" w:rsidP="00BE2E9D">
      <w:r>
        <w:t xml:space="preserve">Concepts, terms and definitions </w:t>
      </w:r>
      <w:r w:rsidR="00A91F38">
        <w:t>from other glossaries will be used if required.</w:t>
      </w:r>
    </w:p>
    <w:p w14:paraId="3963B01D" w14:textId="750FBA8A" w:rsidR="00A91F38" w:rsidRPr="006759BF" w:rsidRDefault="00A91F38" w:rsidP="00A87E8F">
      <w:pPr>
        <w:pStyle w:val="Heading2"/>
      </w:pPr>
      <w:bookmarkStart w:id="7" w:name="_Toc518303844"/>
      <w:bookmarkStart w:id="8" w:name="_Hlk514602120"/>
      <w:r>
        <w:t>Selection</w:t>
      </w:r>
      <w:r w:rsidRPr="006759BF">
        <w:t xml:space="preserve"> of </w:t>
      </w:r>
      <w:r w:rsidR="00BE2E9D">
        <w:t xml:space="preserve">concepts, </w:t>
      </w:r>
      <w:r w:rsidRPr="006759BF">
        <w:t xml:space="preserve">terms &amp; definitions from selected </w:t>
      </w:r>
      <w:r>
        <w:t>glossaries</w:t>
      </w:r>
      <w:bookmarkEnd w:id="7"/>
      <w:r w:rsidRPr="006759BF">
        <w:t xml:space="preserve"> </w:t>
      </w:r>
      <w:bookmarkEnd w:id="8"/>
    </w:p>
    <w:p w14:paraId="40682838" w14:textId="77743AF0" w:rsidR="00A91F38" w:rsidRPr="006759BF" w:rsidRDefault="00A91F38" w:rsidP="00A91F38">
      <w:pPr>
        <w:rPr>
          <w:color w:val="000000" w:themeColor="text1"/>
        </w:rPr>
      </w:pPr>
      <w:r w:rsidRPr="006759BF">
        <w:rPr>
          <w:color w:val="000000" w:themeColor="text1"/>
        </w:rPr>
        <w:t>All definitions from selected glossaries are directly quoted without alteration</w:t>
      </w:r>
      <w:r>
        <w:rPr>
          <w:color w:val="000000" w:themeColor="text1"/>
        </w:rPr>
        <w:t xml:space="preserve"> unless they need further explanation in annotations</w:t>
      </w:r>
      <w:r w:rsidRPr="006759BF">
        <w:rPr>
          <w:color w:val="000000" w:themeColor="text1"/>
        </w:rPr>
        <w:t xml:space="preserve">. Other actions in relation to </w:t>
      </w:r>
      <w:r w:rsidR="00BE2E9D">
        <w:rPr>
          <w:color w:val="000000" w:themeColor="text1"/>
        </w:rPr>
        <w:t xml:space="preserve">concepts, </w:t>
      </w:r>
      <w:r w:rsidRPr="006759BF">
        <w:rPr>
          <w:color w:val="000000" w:themeColor="text1"/>
        </w:rPr>
        <w:t>terms and definitions were:</w:t>
      </w:r>
    </w:p>
    <w:p w14:paraId="76DBC475" w14:textId="5118F0B0" w:rsidR="00A91F38" w:rsidRDefault="00BE2E9D" w:rsidP="00117A5D">
      <w:pPr>
        <w:pStyle w:val="ListParagraph"/>
        <w:numPr>
          <w:ilvl w:val="0"/>
          <w:numId w:val="3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concepts and </w:t>
      </w:r>
      <w:r w:rsidR="00A91F38">
        <w:rPr>
          <w:color w:val="000000" w:themeColor="text1"/>
        </w:rPr>
        <w:t xml:space="preserve">terms were taken from the publications listed in </w:t>
      </w:r>
      <w:r w:rsidR="00A91F38" w:rsidRPr="006D47FF">
        <w:rPr>
          <w:color w:val="000000" w:themeColor="text1"/>
        </w:rPr>
        <w:t xml:space="preserve">section </w:t>
      </w:r>
      <w:r w:rsidR="00012CDA">
        <w:rPr>
          <w:color w:val="000000" w:themeColor="text1"/>
        </w:rPr>
        <w:t>4 above</w:t>
      </w:r>
      <w:r w:rsidR="00A91F38" w:rsidRPr="006D47FF">
        <w:rPr>
          <w:color w:val="000000" w:themeColor="text1"/>
        </w:rPr>
        <w:t xml:space="preserve"> </w:t>
      </w:r>
      <w:r w:rsidR="00A91F38">
        <w:rPr>
          <w:color w:val="000000" w:themeColor="text1"/>
        </w:rPr>
        <w:t>in that order;</w:t>
      </w:r>
      <w:r w:rsidR="00012CDA">
        <w:rPr>
          <w:color w:val="000000" w:themeColor="text1"/>
        </w:rPr>
        <w:t xml:space="preserve"> and</w:t>
      </w:r>
    </w:p>
    <w:p w14:paraId="680CADB8" w14:textId="41181936" w:rsidR="00A91F38" w:rsidRPr="006759BF" w:rsidRDefault="00A91F38" w:rsidP="00A91F38">
      <w:pPr>
        <w:pStyle w:val="ListParagraph"/>
        <w:numPr>
          <w:ilvl w:val="0"/>
          <w:numId w:val="3"/>
        </w:numPr>
        <w:ind w:left="714" w:hanging="357"/>
        <w:contextualSpacing w:val="0"/>
        <w:rPr>
          <w:color w:val="000000" w:themeColor="text1"/>
        </w:rPr>
      </w:pPr>
      <w:r w:rsidRPr="006759BF">
        <w:rPr>
          <w:color w:val="000000" w:themeColor="text1"/>
        </w:rPr>
        <w:t xml:space="preserve">some </w:t>
      </w:r>
      <w:r w:rsidR="00BE2E9D">
        <w:rPr>
          <w:color w:val="000000" w:themeColor="text1"/>
        </w:rPr>
        <w:t xml:space="preserve">concepts and </w:t>
      </w:r>
      <w:r w:rsidRPr="006759BF">
        <w:rPr>
          <w:color w:val="000000" w:themeColor="text1"/>
        </w:rPr>
        <w:t xml:space="preserve">terms from selected glossaries were excluded from the </w:t>
      </w:r>
      <w:r w:rsidRPr="006759BF">
        <w:rPr>
          <w:i/>
          <w:color w:val="000000" w:themeColor="text1"/>
        </w:rPr>
        <w:t>Glossary</w:t>
      </w:r>
      <w:r w:rsidRPr="006759BF">
        <w:rPr>
          <w:color w:val="000000" w:themeColor="text1"/>
        </w:rPr>
        <w:t xml:space="preserve"> because they:</w:t>
      </w:r>
    </w:p>
    <w:p w14:paraId="4971575E" w14:textId="499E460D" w:rsidR="00A91F38" w:rsidRPr="006759BF" w:rsidRDefault="00A91F38" w:rsidP="00A91F38">
      <w:pPr>
        <w:pStyle w:val="ListParagraph"/>
        <w:numPr>
          <w:ilvl w:val="1"/>
          <w:numId w:val="3"/>
        </w:numPr>
        <w:ind w:left="1077" w:hanging="357"/>
        <w:contextualSpacing w:val="0"/>
        <w:rPr>
          <w:color w:val="000000" w:themeColor="text1"/>
        </w:rPr>
      </w:pPr>
      <w:r w:rsidRPr="006759BF">
        <w:rPr>
          <w:color w:val="000000" w:themeColor="text1"/>
        </w:rPr>
        <w:t xml:space="preserve">did not meet the </w:t>
      </w:r>
      <w:r>
        <w:rPr>
          <w:color w:val="000000" w:themeColor="text1"/>
        </w:rPr>
        <w:t>principles</w:t>
      </w:r>
      <w:r w:rsidRPr="006759BF">
        <w:rPr>
          <w:color w:val="000000" w:themeColor="text1"/>
        </w:rPr>
        <w:t xml:space="preserve"> in section </w:t>
      </w:r>
      <w:r w:rsidR="00012CDA">
        <w:rPr>
          <w:color w:val="000000" w:themeColor="text1"/>
        </w:rPr>
        <w:t>3</w:t>
      </w:r>
      <w:r w:rsidRPr="006759BF">
        <w:t xml:space="preserve"> above</w:t>
      </w:r>
      <w:r>
        <w:t>,</w:t>
      </w:r>
    </w:p>
    <w:p w14:paraId="1C317DBA" w14:textId="44D67B03" w:rsidR="00A91F38" w:rsidRDefault="00A91F38" w:rsidP="00117A5D">
      <w:pPr>
        <w:pStyle w:val="ListParagraph"/>
        <w:numPr>
          <w:ilvl w:val="1"/>
          <w:numId w:val="3"/>
        </w:numPr>
        <w:ind w:left="1077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are generic </w:t>
      </w:r>
      <w:r w:rsidR="00117A5D">
        <w:rPr>
          <w:color w:val="000000" w:themeColor="text1"/>
        </w:rPr>
        <w:t xml:space="preserve"> and </w:t>
      </w:r>
      <w:r w:rsidRPr="006759BF">
        <w:rPr>
          <w:color w:val="000000" w:themeColor="text1"/>
        </w:rPr>
        <w:t>do not have specialist definitions, e.g. ‘organization’, ‘airport’</w:t>
      </w:r>
      <w:r>
        <w:rPr>
          <w:color w:val="000000" w:themeColor="text1"/>
        </w:rPr>
        <w:t>,</w:t>
      </w:r>
    </w:p>
    <w:p w14:paraId="31B11479" w14:textId="6E35D6CD" w:rsidR="00A91F38" w:rsidRPr="006759BF" w:rsidRDefault="00A91F38" w:rsidP="00A91F38">
      <w:pPr>
        <w:pStyle w:val="ListParagraph"/>
        <w:numPr>
          <w:ilvl w:val="1"/>
          <w:numId w:val="3"/>
        </w:numPr>
        <w:ind w:left="1077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are applied predominantly in a specialized area rather than generally in the field of </w:t>
      </w:r>
      <w:r w:rsidRPr="006759BF">
        <w:t>health emergency</w:t>
      </w:r>
      <w:r w:rsidR="00117A5D">
        <w:t xml:space="preserve"> and disaster</w:t>
      </w:r>
      <w:r w:rsidRPr="006759BF">
        <w:t xml:space="preserve"> risk management</w:t>
      </w:r>
      <w:r>
        <w:rPr>
          <w:color w:val="000000" w:themeColor="text1"/>
        </w:rPr>
        <w:t xml:space="preserve">,  </w:t>
      </w:r>
    </w:p>
    <w:p w14:paraId="716B3FDE" w14:textId="01E301D1" w:rsidR="00A91F38" w:rsidRPr="006759BF" w:rsidRDefault="00A91F38" w:rsidP="00A91F38">
      <w:pPr>
        <w:pStyle w:val="ListParagraph"/>
        <w:numPr>
          <w:ilvl w:val="1"/>
          <w:numId w:val="3"/>
        </w:numPr>
        <w:ind w:left="1077" w:hanging="357"/>
        <w:contextualSpacing w:val="0"/>
        <w:rPr>
          <w:color w:val="000000" w:themeColor="text1"/>
        </w:rPr>
      </w:pPr>
      <w:r w:rsidRPr="006759BF">
        <w:rPr>
          <w:color w:val="000000" w:themeColor="text1"/>
        </w:rPr>
        <w:t xml:space="preserve">were cited in an existing glossary for the sole purpose of </w:t>
      </w:r>
      <w:r w:rsidRPr="006759BF">
        <w:rPr>
          <w:rFonts w:eastAsia="Times New Roman" w:cs="Times New Roman"/>
          <w:bCs/>
          <w:color w:val="000000"/>
        </w:rPr>
        <w:t xml:space="preserve">interpretation of </w:t>
      </w:r>
      <w:r w:rsidR="00012CDA">
        <w:rPr>
          <w:rFonts w:eastAsia="Times New Roman" w:cs="Times New Roman"/>
          <w:bCs/>
          <w:color w:val="000000"/>
        </w:rPr>
        <w:t>a</w:t>
      </w:r>
      <w:r w:rsidRPr="006759BF">
        <w:rPr>
          <w:rFonts w:eastAsia="Times New Roman" w:cs="Times New Roman"/>
          <w:bCs/>
          <w:color w:val="000000"/>
        </w:rPr>
        <w:t xml:space="preserve"> text</w:t>
      </w:r>
      <w:r>
        <w:rPr>
          <w:rFonts w:eastAsia="Times New Roman" w:cs="Times New Roman"/>
          <w:bCs/>
          <w:color w:val="000000"/>
        </w:rPr>
        <w:t>,</w:t>
      </w:r>
      <w:r w:rsidRPr="006759BF">
        <w:rPr>
          <w:rFonts w:eastAsia="Times New Roman" w:cs="Times New Roman"/>
          <w:bCs/>
          <w:color w:val="000000"/>
        </w:rPr>
        <w:t xml:space="preserve"> and</w:t>
      </w:r>
    </w:p>
    <w:p w14:paraId="149DAA04" w14:textId="7831E227" w:rsidR="00A91F38" w:rsidRPr="00012CDA" w:rsidRDefault="00A91F38" w:rsidP="00012CDA">
      <w:pPr>
        <w:pStyle w:val="ListParagraph"/>
        <w:numPr>
          <w:ilvl w:val="1"/>
          <w:numId w:val="3"/>
        </w:numPr>
        <w:ind w:left="1077" w:hanging="357"/>
        <w:contextualSpacing w:val="0"/>
        <w:rPr>
          <w:color w:val="000000" w:themeColor="text1"/>
        </w:rPr>
      </w:pPr>
      <w:r w:rsidRPr="00012CDA">
        <w:rPr>
          <w:color w:val="000000" w:themeColor="text1"/>
        </w:rPr>
        <w:t xml:space="preserve">do not suit the scope of the </w:t>
      </w:r>
      <w:r w:rsidRPr="00012CDA">
        <w:rPr>
          <w:i/>
          <w:color w:val="000000" w:themeColor="text1"/>
        </w:rPr>
        <w:t>Glossa</w:t>
      </w:r>
      <w:r w:rsidR="00012CDA">
        <w:rPr>
          <w:i/>
          <w:color w:val="000000" w:themeColor="text1"/>
        </w:rPr>
        <w:t>ry</w:t>
      </w:r>
      <w:r w:rsidRPr="00012CDA">
        <w:rPr>
          <w:color w:val="000000" w:themeColor="text1"/>
        </w:rPr>
        <w:t>.</w:t>
      </w:r>
    </w:p>
    <w:sectPr w:rsidR="00A91F38" w:rsidRPr="00012CDA" w:rsidSect="00A91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60155" w14:textId="77777777" w:rsidR="000E522D" w:rsidRDefault="000E522D" w:rsidP="00A91F38">
      <w:pPr>
        <w:spacing w:before="0"/>
      </w:pPr>
      <w:r>
        <w:separator/>
      </w:r>
    </w:p>
  </w:endnote>
  <w:endnote w:type="continuationSeparator" w:id="0">
    <w:p w14:paraId="6BC2A63A" w14:textId="77777777" w:rsidR="000E522D" w:rsidRDefault="000E522D" w:rsidP="00A91F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5D18" w14:textId="77777777" w:rsidR="004D29CE" w:rsidRDefault="004D2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733435006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398D5D" w14:textId="3B0F5466" w:rsidR="00A91F38" w:rsidRPr="00C9538F" w:rsidRDefault="00C9538F" w:rsidP="00C9538F">
            <w:pPr>
              <w:pStyle w:val="Footer"/>
              <w:pBdr>
                <w:top w:val="single" w:sz="4" w:space="1" w:color="002060"/>
              </w:pBdr>
              <w:rPr>
                <w:i/>
                <w:iCs/>
              </w:rPr>
            </w:pPr>
            <w:r w:rsidRPr="00C9538F">
              <w:rPr>
                <w:i/>
                <w:iCs/>
              </w:rPr>
              <w:fldChar w:fldCharType="begin"/>
            </w:r>
            <w:r w:rsidRPr="00C9538F">
              <w:rPr>
                <w:i/>
                <w:iCs/>
              </w:rPr>
              <w:instrText xml:space="preserve"> FILENAME  \* Lower  \* MERGEFORMAT </w:instrText>
            </w:r>
            <w:r w:rsidRPr="00C9538F">
              <w:rPr>
                <w:i/>
                <w:iCs/>
              </w:rPr>
              <w:fldChar w:fldCharType="separate"/>
            </w:r>
            <w:r w:rsidR="00962BD8">
              <w:rPr>
                <w:i/>
                <w:iCs/>
                <w:noProof/>
              </w:rPr>
              <w:t>181111 health edrm workshop - draft glossary - background paper.docx</w:t>
            </w:r>
            <w:r w:rsidRPr="00C9538F">
              <w:rPr>
                <w:i/>
                <w:iCs/>
              </w:rPr>
              <w:fldChar w:fldCharType="end"/>
            </w:r>
            <w:r w:rsidR="009B057A" w:rsidRPr="00C9538F">
              <w:rPr>
                <w:i/>
                <w:iCs/>
              </w:rPr>
              <w:tab/>
            </w:r>
            <w:r w:rsidR="00A91F38" w:rsidRPr="00C9538F">
              <w:rPr>
                <w:i/>
                <w:iCs/>
              </w:rPr>
              <w:t xml:space="preserve">Page </w:t>
            </w:r>
            <w:r w:rsidR="00A91F38" w:rsidRPr="00C9538F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A91F38" w:rsidRPr="00C9538F">
              <w:rPr>
                <w:b/>
                <w:bCs/>
                <w:i/>
                <w:iCs/>
              </w:rPr>
              <w:instrText xml:space="preserve"> PAGE </w:instrText>
            </w:r>
            <w:r w:rsidR="00A91F38" w:rsidRPr="00C9538F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962BD8">
              <w:rPr>
                <w:b/>
                <w:bCs/>
                <w:i/>
                <w:iCs/>
                <w:noProof/>
              </w:rPr>
              <w:t>1</w:t>
            </w:r>
            <w:r w:rsidR="00A91F38" w:rsidRPr="00C9538F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="00A91F38" w:rsidRPr="00C9538F">
              <w:rPr>
                <w:i/>
                <w:iCs/>
              </w:rPr>
              <w:t xml:space="preserve"> of </w:t>
            </w:r>
            <w:r w:rsidR="00A91F38" w:rsidRPr="00C9538F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A91F38" w:rsidRPr="00C9538F">
              <w:rPr>
                <w:b/>
                <w:bCs/>
                <w:i/>
                <w:iCs/>
              </w:rPr>
              <w:instrText xml:space="preserve"> NUMPAGES  </w:instrText>
            </w:r>
            <w:r w:rsidR="00A91F38" w:rsidRPr="00C9538F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962BD8">
              <w:rPr>
                <w:b/>
                <w:bCs/>
                <w:i/>
                <w:iCs/>
                <w:noProof/>
              </w:rPr>
              <w:t>2</w:t>
            </w:r>
            <w:r w:rsidR="00A91F38" w:rsidRPr="00C9538F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2B47" w14:textId="77777777" w:rsidR="004D29CE" w:rsidRDefault="004D2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634D9" w14:textId="77777777" w:rsidR="000E522D" w:rsidRDefault="000E522D" w:rsidP="00A91F38">
      <w:pPr>
        <w:spacing w:before="0"/>
      </w:pPr>
      <w:r>
        <w:separator/>
      </w:r>
    </w:p>
  </w:footnote>
  <w:footnote w:type="continuationSeparator" w:id="0">
    <w:p w14:paraId="4307AE34" w14:textId="77777777" w:rsidR="000E522D" w:rsidRDefault="000E522D" w:rsidP="00A91F38">
      <w:pPr>
        <w:spacing w:before="0"/>
      </w:pPr>
      <w:r>
        <w:continuationSeparator/>
      </w:r>
    </w:p>
  </w:footnote>
  <w:footnote w:id="1">
    <w:p w14:paraId="1C44A884" w14:textId="77777777" w:rsidR="00A91F38" w:rsidRDefault="00A91F38" w:rsidP="00A91F38">
      <w:pPr>
        <w:pStyle w:val="FootnoteText"/>
      </w:pPr>
      <w:r>
        <w:rPr>
          <w:rStyle w:val="FootnoteReference"/>
        </w:rPr>
        <w:footnoteRef/>
      </w:r>
      <w:r>
        <w:t xml:space="preserve"> Such glossaries have the additional advantage of being already translated into the WHO official languages.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298F6" w14:textId="77777777" w:rsidR="004D29CE" w:rsidRDefault="004D2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21C62" w14:textId="77777777" w:rsidR="00A91F38" w:rsidRDefault="00A91F38" w:rsidP="00A91F38">
    <w:pPr>
      <w:pStyle w:val="Header"/>
      <w:pBdr>
        <w:bottom w:val="single" w:sz="4" w:space="1" w:color="00206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92BF" w14:textId="77777777" w:rsidR="004D29CE" w:rsidRDefault="004D2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512"/>
    <w:multiLevelType w:val="hybridMultilevel"/>
    <w:tmpl w:val="845076A0"/>
    <w:lvl w:ilvl="0" w:tplc="0C09000F">
      <w:start w:val="1"/>
      <w:numFmt w:val="decimal"/>
      <w:lvlText w:val="%1."/>
      <w:lvlJc w:val="left"/>
      <w:pPr>
        <w:ind w:left="363" w:hanging="360"/>
      </w:p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48E46E7"/>
    <w:multiLevelType w:val="hybridMultilevel"/>
    <w:tmpl w:val="B4140A0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07A31"/>
    <w:multiLevelType w:val="hybridMultilevel"/>
    <w:tmpl w:val="FE023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82E21"/>
    <w:multiLevelType w:val="hybridMultilevel"/>
    <w:tmpl w:val="E638B56A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3E754FFF"/>
    <w:multiLevelType w:val="hybridMultilevel"/>
    <w:tmpl w:val="5972C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43C66"/>
    <w:multiLevelType w:val="hybridMultilevel"/>
    <w:tmpl w:val="A2FC388C"/>
    <w:lvl w:ilvl="0" w:tplc="AF3E8864">
      <w:start w:val="1"/>
      <w:numFmt w:val="decimal"/>
      <w:pStyle w:val="Heading2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D6F3E40"/>
    <w:multiLevelType w:val="hybridMultilevel"/>
    <w:tmpl w:val="B2389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8473B"/>
    <w:multiLevelType w:val="hybridMultilevel"/>
    <w:tmpl w:val="ADF0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76C78"/>
    <w:multiLevelType w:val="hybridMultilevel"/>
    <w:tmpl w:val="2B22FD3E"/>
    <w:lvl w:ilvl="0" w:tplc="D0E2FC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38"/>
    <w:rsid w:val="00000416"/>
    <w:rsid w:val="00007A0D"/>
    <w:rsid w:val="00012CDA"/>
    <w:rsid w:val="000B5D27"/>
    <w:rsid w:val="000C169E"/>
    <w:rsid w:val="000E522D"/>
    <w:rsid w:val="00117A5D"/>
    <w:rsid w:val="00131B92"/>
    <w:rsid w:val="001E14E3"/>
    <w:rsid w:val="002978CC"/>
    <w:rsid w:val="002A2FC3"/>
    <w:rsid w:val="003C0FE8"/>
    <w:rsid w:val="003D7F46"/>
    <w:rsid w:val="0040173E"/>
    <w:rsid w:val="00482C1C"/>
    <w:rsid w:val="004D29CE"/>
    <w:rsid w:val="005D5C23"/>
    <w:rsid w:val="006324F9"/>
    <w:rsid w:val="00697089"/>
    <w:rsid w:val="006E3D28"/>
    <w:rsid w:val="007B7391"/>
    <w:rsid w:val="008C2658"/>
    <w:rsid w:val="009062BB"/>
    <w:rsid w:val="009402AE"/>
    <w:rsid w:val="00962BD8"/>
    <w:rsid w:val="009B057A"/>
    <w:rsid w:val="009E68CA"/>
    <w:rsid w:val="00A87E8F"/>
    <w:rsid w:val="00A91F38"/>
    <w:rsid w:val="00AC57DD"/>
    <w:rsid w:val="00AE0360"/>
    <w:rsid w:val="00AE2811"/>
    <w:rsid w:val="00BB7C9C"/>
    <w:rsid w:val="00BE2E9D"/>
    <w:rsid w:val="00C46559"/>
    <w:rsid w:val="00C62AA5"/>
    <w:rsid w:val="00C9538F"/>
    <w:rsid w:val="00CC1DE4"/>
    <w:rsid w:val="00E10EC5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38"/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57A"/>
    <w:pPr>
      <w:keepNext/>
      <w:keepLines/>
      <w:spacing w:before="24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E8F"/>
    <w:pPr>
      <w:keepNext/>
      <w:keepLines/>
      <w:numPr>
        <w:numId w:val="7"/>
      </w:numPr>
      <w:spacing w:before="240"/>
      <w:ind w:left="714" w:hanging="357"/>
      <w:outlineLvl w:val="1"/>
    </w:pPr>
    <w:rPr>
      <w:rFonts w:eastAsiaTheme="majorEastAsia" w:cstheme="majorBidi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E8F"/>
    <w:rPr>
      <w:rFonts w:eastAsiaTheme="majorEastAsia" w:cstheme="majorBidi"/>
      <w:b/>
      <w:color w:val="0070C0"/>
      <w:sz w:val="24"/>
      <w:szCs w:val="24"/>
      <w:lang w:eastAsia="en-AU"/>
    </w:rPr>
  </w:style>
  <w:style w:type="paragraph" w:styleId="ListParagraph">
    <w:name w:val="List Paragraph"/>
    <w:aliases w:val="Bullet List,FooterText,List Paragraph1,Colorful List Accent 1,numbered,Paragraphe de liste1,????,????1,Bulletr List Paragraph,List Paragraph2,List Paragraph21,Párrafo de lista1,Parágrafo da Lista1,?????1,Plan,Dot pt,F5 List Paragraph,3"/>
    <w:basedOn w:val="Normal"/>
    <w:link w:val="ListParagraphChar"/>
    <w:uiPriority w:val="34"/>
    <w:qFormat/>
    <w:rsid w:val="00A91F38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???? Char,????1 Char,Bulletr List Paragraph Char,List Paragraph2 Char,List Paragraph21 Char,?????1 Char,3 Char"/>
    <w:link w:val="ListParagraph"/>
    <w:uiPriority w:val="34"/>
    <w:qFormat/>
    <w:locked/>
    <w:rsid w:val="00A91F38"/>
    <w:rPr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F3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F38"/>
    <w:rPr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91F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1F3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91F38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91F3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91F38"/>
    <w:rPr>
      <w:lang w:eastAsia="en-AU"/>
    </w:rPr>
  </w:style>
  <w:style w:type="table" w:styleId="TableGrid">
    <w:name w:val="Table Grid"/>
    <w:basedOn w:val="TableNormal"/>
    <w:uiPriority w:val="39"/>
    <w:rsid w:val="009B057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057A"/>
    <w:rPr>
      <w:rFonts w:eastAsiaTheme="majorEastAsia" w:cstheme="majorBidi"/>
      <w:b/>
      <w:color w:val="0070C0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9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9D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38"/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57A"/>
    <w:pPr>
      <w:keepNext/>
      <w:keepLines/>
      <w:spacing w:before="24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E8F"/>
    <w:pPr>
      <w:keepNext/>
      <w:keepLines/>
      <w:numPr>
        <w:numId w:val="7"/>
      </w:numPr>
      <w:spacing w:before="240"/>
      <w:ind w:left="714" w:hanging="357"/>
      <w:outlineLvl w:val="1"/>
    </w:pPr>
    <w:rPr>
      <w:rFonts w:eastAsiaTheme="majorEastAsia" w:cstheme="majorBidi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E8F"/>
    <w:rPr>
      <w:rFonts w:eastAsiaTheme="majorEastAsia" w:cstheme="majorBidi"/>
      <w:b/>
      <w:color w:val="0070C0"/>
      <w:sz w:val="24"/>
      <w:szCs w:val="24"/>
      <w:lang w:eastAsia="en-AU"/>
    </w:rPr>
  </w:style>
  <w:style w:type="paragraph" w:styleId="ListParagraph">
    <w:name w:val="List Paragraph"/>
    <w:aliases w:val="Bullet List,FooterText,List Paragraph1,Colorful List Accent 1,numbered,Paragraphe de liste1,????,????1,Bulletr List Paragraph,List Paragraph2,List Paragraph21,Párrafo de lista1,Parágrafo da Lista1,?????1,Plan,Dot pt,F5 List Paragraph,3"/>
    <w:basedOn w:val="Normal"/>
    <w:link w:val="ListParagraphChar"/>
    <w:uiPriority w:val="34"/>
    <w:qFormat/>
    <w:rsid w:val="00A91F38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???? Char,????1 Char,Bulletr List Paragraph Char,List Paragraph2 Char,List Paragraph21 Char,?????1 Char,3 Char"/>
    <w:link w:val="ListParagraph"/>
    <w:uiPriority w:val="34"/>
    <w:qFormat/>
    <w:locked/>
    <w:rsid w:val="00A91F38"/>
    <w:rPr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F3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F38"/>
    <w:rPr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91F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1F3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91F38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91F3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91F38"/>
    <w:rPr>
      <w:lang w:eastAsia="en-AU"/>
    </w:rPr>
  </w:style>
  <w:style w:type="table" w:styleId="TableGrid">
    <w:name w:val="Table Grid"/>
    <w:basedOn w:val="TableNormal"/>
    <w:uiPriority w:val="39"/>
    <w:rsid w:val="009B057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057A"/>
    <w:rPr>
      <w:rFonts w:eastAsiaTheme="majorEastAsia" w:cstheme="majorBidi"/>
      <w:b/>
      <w:color w:val="0070C0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9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9D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Koob</dc:creator>
  <cp:lastModifiedBy>Jonathan Abrahams</cp:lastModifiedBy>
  <cp:revision>8</cp:revision>
  <cp:lastPrinted>2018-11-16T15:32:00Z</cp:lastPrinted>
  <dcterms:created xsi:type="dcterms:W3CDTF">2018-11-13T08:36:00Z</dcterms:created>
  <dcterms:modified xsi:type="dcterms:W3CDTF">2018-11-16T15:32:00Z</dcterms:modified>
</cp:coreProperties>
</file>