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3619" w14:textId="77777777" w:rsidR="003637CA" w:rsidRDefault="003637CA" w:rsidP="00E83341">
      <w:pPr>
        <w:spacing w:line="240" w:lineRule="auto"/>
        <w:rPr>
          <w:rFonts w:eastAsia="MS Mincho" w:cs="Times New Roman"/>
          <w:b/>
          <w:bCs w:val="0"/>
          <w:lang w:val="en-US"/>
        </w:rPr>
      </w:pPr>
    </w:p>
    <w:p w14:paraId="317E9DE4" w14:textId="77777777" w:rsidR="002E6698" w:rsidRDefault="002E6698" w:rsidP="00501BC9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  <w:r>
        <w:rPr>
          <w:rFonts w:eastAsia="MS Mincho" w:cs="Times New Roman"/>
          <w:b/>
          <w:bCs w:val="0"/>
          <w:lang w:val="en-US"/>
        </w:rPr>
        <w:t>BACKGROUND NOTE</w:t>
      </w:r>
    </w:p>
    <w:p w14:paraId="617BFFCE" w14:textId="2676D4D1" w:rsidR="0096551D" w:rsidRPr="003D1EB7" w:rsidRDefault="0096551D" w:rsidP="0096551D">
      <w:pPr>
        <w:spacing w:line="240" w:lineRule="auto"/>
        <w:jc w:val="center"/>
        <w:rPr>
          <w:rFonts w:eastAsia="MS Mincho" w:cs="Times New Roman"/>
          <w:b/>
          <w:bCs w:val="0"/>
          <w:color w:val="FF0000"/>
          <w:lang w:val="en-US"/>
        </w:rPr>
      </w:pPr>
      <w:r w:rsidRPr="003D1EB7">
        <w:rPr>
          <w:rFonts w:eastAsia="MS Mincho" w:cs="Times New Roman"/>
          <w:b/>
          <w:bCs w:val="0"/>
          <w:lang w:val="en-US"/>
        </w:rPr>
        <w:t>Plenary Session</w:t>
      </w:r>
      <w:r w:rsidR="00AE7137">
        <w:rPr>
          <w:rFonts w:eastAsia="MS Mincho" w:cs="Times New Roman"/>
          <w:b/>
          <w:bCs w:val="0"/>
          <w:lang w:val="en-US"/>
        </w:rPr>
        <w:t xml:space="preserve"> 3</w:t>
      </w:r>
      <w:r w:rsidR="00501BC9">
        <w:rPr>
          <w:rFonts w:eastAsia="MS Mincho" w:cs="Times New Roman"/>
          <w:b/>
          <w:bCs w:val="0"/>
          <w:lang w:val="en-US"/>
        </w:rPr>
        <w:t>:</w:t>
      </w:r>
      <w:r w:rsidR="00666048">
        <w:rPr>
          <w:rFonts w:eastAsia="MS Mincho" w:cs="Times New Roman"/>
          <w:b/>
          <w:bCs w:val="0"/>
          <w:lang w:val="en-US"/>
        </w:rPr>
        <w:t xml:space="preserve"> “Turning Intention to Action for Survivors”</w:t>
      </w:r>
    </w:p>
    <w:p w14:paraId="6D1162B7" w14:textId="77777777" w:rsidR="0096551D" w:rsidRPr="003D1EB7" w:rsidRDefault="0096551D" w:rsidP="0096551D">
      <w:pPr>
        <w:spacing w:line="240" w:lineRule="auto"/>
        <w:rPr>
          <w:rFonts w:eastAsia="MS Mincho" w:cs="Times New Roman"/>
          <w:b/>
          <w:bCs w:val="0"/>
          <w:lang w:val="en-US"/>
        </w:rPr>
      </w:pPr>
    </w:p>
    <w:p w14:paraId="4F05015D" w14:textId="218F1E53" w:rsidR="003D1EB7" w:rsidRPr="00501BC9" w:rsidRDefault="003D1EB7" w:rsidP="003D1EB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 w:rsidRPr="00501BC9">
        <w:rPr>
          <w:rFonts w:eastAsia="MS Mincho" w:cs="Times New Roman"/>
          <w:bCs w:val="0"/>
          <w:lang w:val="en-US"/>
        </w:rPr>
        <w:t>Date</w:t>
      </w:r>
      <w:r w:rsidR="002E6698" w:rsidRPr="00501BC9">
        <w:rPr>
          <w:rFonts w:eastAsia="MS Mincho" w:cs="Times New Roman"/>
          <w:bCs w:val="0"/>
          <w:lang w:val="en-US"/>
        </w:rPr>
        <w:t xml:space="preserve"> and time</w:t>
      </w:r>
      <w:r w:rsidRPr="00501BC9">
        <w:rPr>
          <w:rFonts w:eastAsia="MS Mincho" w:cs="Times New Roman"/>
          <w:bCs w:val="0"/>
          <w:lang w:val="en-US"/>
        </w:rPr>
        <w:t xml:space="preserve">: </w:t>
      </w:r>
      <w:r w:rsidRPr="00501BC9">
        <w:rPr>
          <w:rFonts w:eastAsia="MS Mincho" w:cs="Times New Roman"/>
          <w:bCs w:val="0"/>
          <w:lang w:val="en-US"/>
        </w:rPr>
        <w:tab/>
      </w:r>
      <w:r w:rsidRPr="00501BC9">
        <w:rPr>
          <w:rFonts w:eastAsia="MS Mincho" w:cs="Times New Roman"/>
          <w:bCs w:val="0"/>
          <w:lang w:val="en-US"/>
        </w:rPr>
        <w:tab/>
      </w:r>
      <w:r w:rsidR="003E6654" w:rsidRPr="00501BC9">
        <w:rPr>
          <w:rFonts w:eastAsia="MS Mincho" w:cs="Times New Roman"/>
          <w:bCs w:val="0"/>
          <w:lang w:val="en-US"/>
        </w:rPr>
        <w:t>10</w:t>
      </w:r>
      <w:r w:rsidR="00501BC9">
        <w:rPr>
          <w:rFonts w:eastAsia="MS Mincho" w:cs="Times New Roman"/>
          <w:bCs w:val="0"/>
          <w:lang w:val="en-US"/>
        </w:rPr>
        <w:t xml:space="preserve">:00 to </w:t>
      </w:r>
      <w:r w:rsidR="003E6654" w:rsidRPr="00501BC9">
        <w:rPr>
          <w:rFonts w:eastAsia="MS Mincho" w:cs="Times New Roman"/>
          <w:bCs w:val="0"/>
          <w:lang w:val="en-US"/>
        </w:rPr>
        <w:t>11:15</w:t>
      </w:r>
      <w:r w:rsidR="00AD2717" w:rsidRPr="00501BC9">
        <w:rPr>
          <w:rFonts w:eastAsia="MS Mincho" w:cs="Times New Roman"/>
          <w:bCs w:val="0"/>
          <w:lang w:val="en-US"/>
        </w:rPr>
        <w:t xml:space="preserve">, </w:t>
      </w:r>
      <w:r w:rsidR="003E6654" w:rsidRPr="00501BC9">
        <w:rPr>
          <w:rFonts w:eastAsia="MS Mincho" w:cs="Times New Roman"/>
          <w:bCs w:val="0"/>
          <w:lang w:val="en-US"/>
        </w:rPr>
        <w:t>Thursday</w:t>
      </w:r>
      <w:r w:rsidR="00AD2717" w:rsidRPr="00501BC9">
        <w:rPr>
          <w:rFonts w:eastAsia="MS Mincho" w:cs="Times New Roman"/>
          <w:bCs w:val="0"/>
          <w:lang w:val="en-US"/>
        </w:rPr>
        <w:t xml:space="preserve"> </w:t>
      </w:r>
      <w:r w:rsidR="003E6654" w:rsidRPr="00501BC9">
        <w:rPr>
          <w:rFonts w:eastAsia="MS Mincho" w:cs="Times New Roman"/>
          <w:bCs w:val="0"/>
          <w:lang w:val="en-US"/>
        </w:rPr>
        <w:t>7 February 2019</w:t>
      </w:r>
    </w:p>
    <w:p w14:paraId="0E12226E" w14:textId="436EB6B3" w:rsidR="002B42E6" w:rsidRPr="00265DC2" w:rsidRDefault="003D1EB7" w:rsidP="00265DC2">
      <w:pPr>
        <w:tabs>
          <w:tab w:val="left" w:pos="2520"/>
        </w:tabs>
        <w:ind w:left="2520" w:hanging="2520"/>
        <w:rPr>
          <w:bCs w:val="0"/>
          <w:sz w:val="22"/>
          <w:szCs w:val="22"/>
          <w:lang w:val="en-US" w:eastAsia="zh-CN"/>
        </w:rPr>
      </w:pPr>
      <w:r w:rsidRPr="00501BC9">
        <w:rPr>
          <w:rFonts w:eastAsia="MS Mincho" w:cs="Times New Roman"/>
          <w:bCs w:val="0"/>
          <w:lang w:val="en-US"/>
        </w:rPr>
        <w:t xml:space="preserve">Chair: </w:t>
      </w:r>
      <w:r w:rsidRPr="00501BC9">
        <w:rPr>
          <w:rFonts w:eastAsia="MS Mincho" w:cs="Times New Roman"/>
          <w:bCs w:val="0"/>
          <w:lang w:val="en-US"/>
        </w:rPr>
        <w:tab/>
      </w:r>
      <w:r w:rsidR="00501BC9" w:rsidRPr="00501BC9">
        <w:rPr>
          <w:rFonts w:eastAsia="MS Mincho" w:cs="Times New Roman"/>
          <w:b/>
          <w:lang w:val="en-US"/>
        </w:rPr>
        <w:t xml:space="preserve">Ms. </w:t>
      </w:r>
      <w:r w:rsidR="00265DC2" w:rsidRPr="00265DC2">
        <w:rPr>
          <w:rFonts w:eastAsia="MS Mincho" w:cs="Times New Roman"/>
          <w:b/>
          <w:lang w:val="en-US"/>
        </w:rPr>
        <w:t>Oksana Leshchenko</w:t>
      </w:r>
      <w:r w:rsidR="00501BC9" w:rsidRPr="00501BC9">
        <w:rPr>
          <w:rFonts w:eastAsia="MS Mincho" w:cs="Times New Roman"/>
          <w:bCs w:val="0"/>
          <w:lang w:val="en-US"/>
        </w:rPr>
        <w:t xml:space="preserve">, </w:t>
      </w:r>
      <w:r w:rsidR="00265DC2">
        <w:t>Policy Specialist on Development and Mine Action, Crises Bureau, UNDP</w:t>
      </w:r>
    </w:p>
    <w:p w14:paraId="68BFA109" w14:textId="77777777" w:rsidR="002018FC" w:rsidRPr="00265DC2" w:rsidRDefault="002B42E6" w:rsidP="002B42E6">
      <w:pPr>
        <w:tabs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/>
          <w:bCs w:val="0"/>
          <w:color w:val="000000" w:themeColor="text1"/>
          <w:sz w:val="12"/>
          <w:szCs w:val="12"/>
          <w:lang w:val="en-US"/>
        </w:rPr>
      </w:pPr>
      <w:r w:rsidRPr="00501BC9">
        <w:rPr>
          <w:rFonts w:eastAsia="MS Mincho" w:cs="Times New Roman"/>
          <w:bCs w:val="0"/>
          <w:lang w:val="en-US"/>
        </w:rPr>
        <w:t xml:space="preserve"> </w:t>
      </w:r>
    </w:p>
    <w:p w14:paraId="67E3715E" w14:textId="3DC8F15F" w:rsidR="000407D0" w:rsidRPr="00501BC9" w:rsidRDefault="003D1EB7" w:rsidP="00065BD6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cs="Times New Roman"/>
        </w:rPr>
      </w:pPr>
      <w:r w:rsidRPr="00501BC9">
        <w:rPr>
          <w:rFonts w:eastAsia="MS Mincho" w:cs="Times New Roman"/>
          <w:bCs w:val="0"/>
          <w:color w:val="000000" w:themeColor="text1"/>
          <w:lang w:val="en-US"/>
        </w:rPr>
        <w:t>Speakers:</w:t>
      </w:r>
      <w:r w:rsidRPr="00501BC9">
        <w:rPr>
          <w:rFonts w:eastAsia="MS Mincho" w:cs="Times New Roman"/>
          <w:bCs w:val="0"/>
          <w:color w:val="000000" w:themeColor="text1"/>
          <w:lang w:val="en-US"/>
        </w:rPr>
        <w:tab/>
      </w:r>
      <w:r w:rsidR="00501BC9" w:rsidRPr="00501BC9">
        <w:rPr>
          <w:rFonts w:eastAsia="MS Mincho" w:cs="Times New Roman"/>
          <w:bCs w:val="0"/>
          <w:color w:val="000000" w:themeColor="text1"/>
          <w:lang w:val="en-US"/>
        </w:rPr>
        <w:tab/>
      </w:r>
      <w:r w:rsidR="00501BC9" w:rsidRPr="00501BC9">
        <w:rPr>
          <w:b/>
          <w:bCs w:val="0"/>
        </w:rPr>
        <w:t xml:space="preserve">Ambassador </w:t>
      </w:r>
      <w:proofErr w:type="spellStart"/>
      <w:r w:rsidR="00501BC9" w:rsidRPr="00501BC9">
        <w:rPr>
          <w:b/>
          <w:bCs w:val="0"/>
        </w:rPr>
        <w:t>Prum</w:t>
      </w:r>
      <w:proofErr w:type="spellEnd"/>
      <w:r w:rsidR="00501BC9" w:rsidRPr="00501BC9">
        <w:rPr>
          <w:b/>
          <w:bCs w:val="0"/>
        </w:rPr>
        <w:t xml:space="preserve"> </w:t>
      </w:r>
      <w:proofErr w:type="spellStart"/>
      <w:r w:rsidR="00501BC9" w:rsidRPr="00501BC9">
        <w:rPr>
          <w:b/>
          <w:bCs w:val="0"/>
        </w:rPr>
        <w:t>Sophakmonkol</w:t>
      </w:r>
      <w:proofErr w:type="spellEnd"/>
      <w:r w:rsidR="00501BC9" w:rsidRPr="00501BC9">
        <w:t>, Secretary-General, Cambodian Mine Action and Victim Assistance Authority</w:t>
      </w:r>
    </w:p>
    <w:p w14:paraId="1B811AA9" w14:textId="7C67620E" w:rsidR="000407D0" w:rsidRPr="00501BC9" w:rsidRDefault="00501BC9" w:rsidP="00AD271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cs="Times New Roman"/>
        </w:rPr>
      </w:pPr>
      <w:r w:rsidRPr="00501BC9">
        <w:rPr>
          <w:rFonts w:cs="Times New Roman"/>
        </w:rPr>
        <w:tab/>
      </w:r>
      <w:r w:rsidRPr="00501BC9">
        <w:rPr>
          <w:rFonts w:cs="Times New Roman"/>
        </w:rPr>
        <w:tab/>
      </w:r>
      <w:r w:rsidRPr="00501BC9">
        <w:rPr>
          <w:rFonts w:cs="Times New Roman"/>
          <w:b/>
          <w:bCs w:val="0"/>
        </w:rPr>
        <w:t xml:space="preserve">Mr. </w:t>
      </w:r>
      <w:proofErr w:type="spellStart"/>
      <w:r w:rsidRPr="00501BC9">
        <w:rPr>
          <w:rFonts w:cs="Times New Roman"/>
          <w:b/>
          <w:bCs w:val="0"/>
        </w:rPr>
        <w:t>Muhabbat</w:t>
      </w:r>
      <w:proofErr w:type="spellEnd"/>
      <w:r w:rsidRPr="00501BC9">
        <w:rPr>
          <w:rFonts w:cs="Times New Roman"/>
          <w:b/>
          <w:bCs w:val="0"/>
        </w:rPr>
        <w:t xml:space="preserve"> </w:t>
      </w:r>
      <w:proofErr w:type="spellStart"/>
      <w:r w:rsidRPr="00501BC9">
        <w:rPr>
          <w:rFonts w:cs="Times New Roman"/>
          <w:b/>
          <w:bCs w:val="0"/>
        </w:rPr>
        <w:t>Ibrohimzoda</w:t>
      </w:r>
      <w:proofErr w:type="spellEnd"/>
      <w:r w:rsidRPr="00501BC9">
        <w:rPr>
          <w:rFonts w:cs="Times New Roman"/>
        </w:rPr>
        <w:t>, Director, Tajikistan Mine Action Centre</w:t>
      </w:r>
    </w:p>
    <w:p w14:paraId="42E8945E" w14:textId="0E5DB1E2" w:rsidR="00E626AF" w:rsidRPr="00501BC9" w:rsidRDefault="00501BC9" w:rsidP="00AD271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cs="Times New Roman"/>
        </w:rPr>
      </w:pPr>
      <w:r w:rsidRPr="00501BC9">
        <w:rPr>
          <w:rFonts w:cs="Times New Roman"/>
        </w:rPr>
        <w:tab/>
      </w:r>
      <w:r w:rsidRPr="00501BC9">
        <w:rPr>
          <w:rFonts w:cs="Times New Roman"/>
        </w:rPr>
        <w:tab/>
      </w:r>
      <w:r w:rsidRPr="00501BC9">
        <w:rPr>
          <w:rFonts w:cs="Times New Roman"/>
          <w:b/>
          <w:bCs w:val="0"/>
        </w:rPr>
        <w:t>Ms. Sarah Harrison</w:t>
      </w:r>
      <w:r w:rsidRPr="00501BC9">
        <w:rPr>
          <w:rFonts w:cs="Times New Roman"/>
        </w:rPr>
        <w:t>, Co-Chair, IASC Reference Group on Mental Health and Psychosocial Support in Emergency Settings</w:t>
      </w:r>
    </w:p>
    <w:p w14:paraId="6F90C538" w14:textId="77777777" w:rsidR="000407D0" w:rsidRPr="00265DC2" w:rsidRDefault="000407D0" w:rsidP="00AD271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cs="Times New Roman"/>
          <w:sz w:val="12"/>
          <w:szCs w:val="12"/>
        </w:rPr>
      </w:pPr>
    </w:p>
    <w:p w14:paraId="1159CA60" w14:textId="6A3FE9E8" w:rsidR="003D1EB7" w:rsidRPr="009D41AB" w:rsidRDefault="003D1EB7" w:rsidP="003D1EB7">
      <w:pPr>
        <w:tabs>
          <w:tab w:val="left" w:pos="2520"/>
        </w:tabs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501BC9">
        <w:rPr>
          <w:rFonts w:eastAsia="MS Mincho" w:cs="Times New Roman"/>
          <w:bCs w:val="0"/>
          <w:lang w:val="en-US"/>
        </w:rPr>
        <w:t xml:space="preserve">Location: </w:t>
      </w:r>
      <w:r w:rsidRPr="00501BC9">
        <w:rPr>
          <w:rFonts w:eastAsia="MS Mincho" w:cs="Times New Roman"/>
          <w:bCs w:val="0"/>
          <w:lang w:val="en-US"/>
        </w:rPr>
        <w:tab/>
        <w:t>Room</w:t>
      </w:r>
      <w:r w:rsidR="00501BC9" w:rsidRPr="00501BC9">
        <w:rPr>
          <w:rFonts w:eastAsia="MS Mincho" w:cs="Times New Roman"/>
          <w:bCs w:val="0"/>
          <w:lang w:val="en-US"/>
        </w:rPr>
        <w:t xml:space="preserve"> XVIII</w:t>
      </w:r>
      <w:r w:rsidRPr="00501BC9">
        <w:rPr>
          <w:rFonts w:eastAsia="MS Mincho" w:cs="Times New Roman"/>
          <w:bCs w:val="0"/>
          <w:lang w:val="en-US"/>
        </w:rPr>
        <w:t>, Palais des Nations, Geneva</w:t>
      </w:r>
    </w:p>
    <w:p w14:paraId="3CB5762E" w14:textId="77777777" w:rsidR="00E85B55" w:rsidRPr="003D1EB7" w:rsidRDefault="00E85B55" w:rsidP="000E34B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</w:p>
    <w:p w14:paraId="18838A1F" w14:textId="77777777" w:rsidR="00E85B55" w:rsidRPr="00501BC9" w:rsidRDefault="00E85B55" w:rsidP="00365FFA">
      <w:pPr>
        <w:spacing w:line="240" w:lineRule="auto"/>
        <w:rPr>
          <w:rFonts w:eastAsia="MS Mincho" w:cs="Times New Roman"/>
          <w:b/>
          <w:bCs w:val="0"/>
          <w:sz w:val="10"/>
          <w:szCs w:val="10"/>
          <w:u w:val="single"/>
          <w:lang w:val="en-US"/>
        </w:rPr>
      </w:pPr>
    </w:p>
    <w:p w14:paraId="09567EB6" w14:textId="77777777" w:rsidR="00E85B55" w:rsidRDefault="00E85B55" w:rsidP="00AE7137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 xml:space="preserve">Introduction </w:t>
      </w:r>
    </w:p>
    <w:p w14:paraId="14E5E12D" w14:textId="77777777" w:rsidR="00501BC9" w:rsidRPr="00501BC9" w:rsidRDefault="00501BC9" w:rsidP="00AE7137">
      <w:pPr>
        <w:spacing w:line="240" w:lineRule="auto"/>
        <w:jc w:val="both"/>
        <w:rPr>
          <w:noProof/>
          <w:sz w:val="16"/>
          <w:szCs w:val="16"/>
        </w:rPr>
      </w:pPr>
    </w:p>
    <w:p w14:paraId="1BEF607A" w14:textId="0A8B165F" w:rsidR="0035791C" w:rsidRDefault="009C45F1" w:rsidP="00AE7137">
      <w:pPr>
        <w:spacing w:line="240" w:lineRule="auto"/>
        <w:jc w:val="both"/>
        <w:rPr>
          <w:noProof/>
        </w:rPr>
      </w:pPr>
      <w:r>
        <w:rPr>
          <w:noProof/>
        </w:rPr>
        <w:t>S</w:t>
      </w:r>
      <w:r w:rsidR="00FE041B">
        <w:rPr>
          <w:noProof/>
        </w:rPr>
        <w:t xml:space="preserve">urvivor and </w:t>
      </w:r>
      <w:r w:rsidR="0035791C" w:rsidRPr="0035791C">
        <w:rPr>
          <w:noProof/>
        </w:rPr>
        <w:t xml:space="preserve">victim assistance is essential </w:t>
      </w:r>
      <w:r>
        <w:rPr>
          <w:noProof/>
        </w:rPr>
        <w:t>for</w:t>
      </w:r>
      <w:r w:rsidR="0035791C" w:rsidRPr="0035791C">
        <w:rPr>
          <w:noProof/>
        </w:rPr>
        <w:t xml:space="preserve"> </w:t>
      </w:r>
      <w:r w:rsidR="00FE041B">
        <w:rPr>
          <w:noProof/>
        </w:rPr>
        <w:t>individuals</w:t>
      </w:r>
      <w:r w:rsidR="00FE041B" w:rsidRPr="0035791C">
        <w:rPr>
          <w:noProof/>
        </w:rPr>
        <w:t xml:space="preserve"> </w:t>
      </w:r>
      <w:r w:rsidR="0035791C" w:rsidRPr="0035791C">
        <w:rPr>
          <w:noProof/>
        </w:rPr>
        <w:t>to recover</w:t>
      </w:r>
      <w:r w:rsidR="00FE041B">
        <w:rPr>
          <w:noProof/>
        </w:rPr>
        <w:t xml:space="preserve"> and </w:t>
      </w:r>
      <w:r w:rsidR="0035791C" w:rsidRPr="0035791C">
        <w:rPr>
          <w:noProof/>
        </w:rPr>
        <w:t xml:space="preserve"> </w:t>
      </w:r>
      <w:r>
        <w:rPr>
          <w:noProof/>
        </w:rPr>
        <w:t>for</w:t>
      </w:r>
      <w:r w:rsidR="0035791C" w:rsidRPr="0035791C">
        <w:rPr>
          <w:noProof/>
        </w:rPr>
        <w:t xml:space="preserve"> communit</w:t>
      </w:r>
      <w:r w:rsidR="00EF5047">
        <w:rPr>
          <w:noProof/>
        </w:rPr>
        <w:t xml:space="preserve">ies </w:t>
      </w:r>
      <w:r w:rsidR="0035791C" w:rsidRPr="0035791C">
        <w:rPr>
          <w:noProof/>
        </w:rPr>
        <w:t>to heal after conflict</w:t>
      </w:r>
      <w:r w:rsidR="00EF5047">
        <w:rPr>
          <w:noProof/>
        </w:rPr>
        <w:t xml:space="preserve">. Working </w:t>
      </w:r>
      <w:r w:rsidR="00FE041B">
        <w:rPr>
          <w:noProof/>
        </w:rPr>
        <w:t>with</w:t>
      </w:r>
      <w:r w:rsidR="00FE041B" w:rsidRPr="0035791C">
        <w:rPr>
          <w:noProof/>
        </w:rPr>
        <w:t xml:space="preserve"> </w:t>
      </w:r>
      <w:r w:rsidR="005E3FC5">
        <w:rPr>
          <w:noProof/>
        </w:rPr>
        <w:t>p</w:t>
      </w:r>
      <w:r w:rsidR="00C644F7">
        <w:rPr>
          <w:noProof/>
        </w:rPr>
        <w:t>ersons with disabilities, including victims of mines</w:t>
      </w:r>
      <w:r>
        <w:rPr>
          <w:noProof/>
        </w:rPr>
        <w:t>, aligns with the goals of</w:t>
      </w:r>
      <w:r w:rsidR="0035791C" w:rsidRPr="0035791C">
        <w:rPr>
          <w:noProof/>
        </w:rPr>
        <w:t xml:space="preserve"> the Agenda 2030</w:t>
      </w:r>
      <w:r>
        <w:rPr>
          <w:noProof/>
        </w:rPr>
        <w:t xml:space="preserve">, which emphasizes </w:t>
      </w:r>
      <w:r w:rsidR="0035791C" w:rsidRPr="0035791C">
        <w:rPr>
          <w:noProof/>
        </w:rPr>
        <w:t xml:space="preserve">‘leaving no one behind’. </w:t>
      </w:r>
      <w:r>
        <w:rPr>
          <w:noProof/>
        </w:rPr>
        <w:t>S</w:t>
      </w:r>
      <w:r w:rsidR="00FE041B">
        <w:rPr>
          <w:noProof/>
        </w:rPr>
        <w:t xml:space="preserve">urvivor and </w:t>
      </w:r>
      <w:r w:rsidR="00EF5047">
        <w:rPr>
          <w:noProof/>
        </w:rPr>
        <w:t xml:space="preserve">victim assistance </w:t>
      </w:r>
      <w:r w:rsidR="00B75272">
        <w:rPr>
          <w:noProof/>
        </w:rPr>
        <w:t>i</w:t>
      </w:r>
      <w:r w:rsidR="0035791C" w:rsidRPr="0035791C">
        <w:rPr>
          <w:noProof/>
        </w:rPr>
        <w:t>s an important</w:t>
      </w:r>
      <w:r w:rsidR="00060ED9">
        <w:rPr>
          <w:noProof/>
        </w:rPr>
        <w:t xml:space="preserve"> means to further </w:t>
      </w:r>
      <w:r w:rsidR="0035791C" w:rsidRPr="0035791C">
        <w:rPr>
          <w:noProof/>
        </w:rPr>
        <w:t xml:space="preserve">this objective </w:t>
      </w:r>
      <w:r w:rsidR="00FE041B">
        <w:rPr>
          <w:noProof/>
        </w:rPr>
        <w:t>and a core pillar of mine action</w:t>
      </w:r>
      <w:r w:rsidR="00060ED9">
        <w:rPr>
          <w:noProof/>
        </w:rPr>
        <w:t xml:space="preserve"> and relevant international legal instruments like the Anti-Personnel </w:t>
      </w:r>
      <w:r w:rsidR="00FE041B">
        <w:rPr>
          <w:noProof/>
        </w:rPr>
        <w:t xml:space="preserve">Mine Ban Convention. </w:t>
      </w:r>
    </w:p>
    <w:p w14:paraId="502A0D86" w14:textId="77777777" w:rsidR="00060ED9" w:rsidRPr="00501BC9" w:rsidRDefault="00060ED9" w:rsidP="00AE7137">
      <w:pPr>
        <w:spacing w:line="240" w:lineRule="auto"/>
        <w:jc w:val="both"/>
        <w:rPr>
          <w:noProof/>
        </w:rPr>
      </w:pPr>
    </w:p>
    <w:p w14:paraId="58BD248E" w14:textId="6FA9E064" w:rsidR="0035791C" w:rsidRPr="0035791C" w:rsidRDefault="0035791C" w:rsidP="00065BD6">
      <w:pPr>
        <w:spacing w:line="240" w:lineRule="auto"/>
        <w:jc w:val="both"/>
        <w:rPr>
          <w:noProof/>
        </w:rPr>
      </w:pPr>
      <w:r w:rsidRPr="0035791C">
        <w:rPr>
          <w:noProof/>
        </w:rPr>
        <w:t xml:space="preserve">UNDP has </w:t>
      </w:r>
      <w:r w:rsidR="00065BD6">
        <w:rPr>
          <w:noProof/>
        </w:rPr>
        <w:t>refined</w:t>
      </w:r>
      <w:r w:rsidRPr="0035791C">
        <w:rPr>
          <w:noProof/>
        </w:rPr>
        <w:t xml:space="preserve"> its approach to mine action, </w:t>
      </w:r>
      <w:r w:rsidR="00060ED9">
        <w:rPr>
          <w:noProof/>
        </w:rPr>
        <w:t>to emphasize</w:t>
      </w:r>
      <w:r w:rsidRPr="0035791C">
        <w:rPr>
          <w:i/>
          <w:noProof/>
        </w:rPr>
        <w:t>‘Development and Mine Action’,</w:t>
      </w:r>
      <w:r w:rsidRPr="0035791C">
        <w:rPr>
          <w:noProof/>
        </w:rPr>
        <w:t xml:space="preserve"> as a support service </w:t>
      </w:r>
      <w:r w:rsidR="00065BD6">
        <w:rPr>
          <w:noProof/>
        </w:rPr>
        <w:t>to</w:t>
      </w:r>
      <w:r w:rsidRPr="0035791C">
        <w:rPr>
          <w:noProof/>
        </w:rPr>
        <w:t xml:space="preserve"> ensure that mine action contributes to developmentthrough</w:t>
      </w:r>
      <w:r w:rsidR="00065BD6" w:rsidRPr="0035791C">
        <w:rPr>
          <w:noProof/>
        </w:rPr>
        <w:t xml:space="preserve">, for example, </w:t>
      </w:r>
      <w:r w:rsidR="00EF5047">
        <w:rPr>
          <w:noProof/>
        </w:rPr>
        <w:t xml:space="preserve"> </w:t>
      </w:r>
      <w:r w:rsidRPr="0035791C">
        <w:rPr>
          <w:noProof/>
        </w:rPr>
        <w:t>empowering and protecting people and their communities; restoring livelihoods; and</w:t>
      </w:r>
      <w:r w:rsidR="00EF5047">
        <w:rPr>
          <w:noProof/>
        </w:rPr>
        <w:t xml:space="preserve"> </w:t>
      </w:r>
      <w:r w:rsidRPr="0035791C">
        <w:rPr>
          <w:noProof/>
        </w:rPr>
        <w:t>supporting peace building, recovery and development.</w:t>
      </w:r>
      <w:r w:rsidR="00065BD6">
        <w:rPr>
          <w:noProof/>
        </w:rPr>
        <w:t xml:space="preserve"> </w:t>
      </w:r>
      <w:r w:rsidRPr="0035791C">
        <w:t xml:space="preserve">Victims Assistance forms a key pillar in the Theory of Change of UNDP’s approach to </w:t>
      </w:r>
      <w:r w:rsidRPr="0035791C">
        <w:rPr>
          <w:noProof/>
        </w:rPr>
        <w:t>evelopment and Mine Action</w:t>
      </w:r>
      <w:r w:rsidRPr="0035791C">
        <w:t>.</w:t>
      </w:r>
    </w:p>
    <w:p w14:paraId="6B303C04" w14:textId="77777777" w:rsidR="009B5879" w:rsidRPr="00501BC9" w:rsidRDefault="009B5879" w:rsidP="00AE7137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</w:p>
    <w:p w14:paraId="347B5CE4" w14:textId="77777777" w:rsidR="00E85B55" w:rsidRPr="003D1EB7" w:rsidRDefault="00E85B55" w:rsidP="00AE7137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>Purpose of the Session</w:t>
      </w:r>
    </w:p>
    <w:p w14:paraId="5EF3C050" w14:textId="2288CA1F" w:rsidR="008C1795" w:rsidRDefault="00B75272" w:rsidP="00AE7137">
      <w:p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Showcase the examples and best practices from different parts of the world where </w:t>
      </w:r>
      <w:r w:rsidR="009C45F1">
        <w:rPr>
          <w:rFonts w:eastAsia="MS Mincho" w:cs="Times New Roman"/>
          <w:bCs w:val="0"/>
        </w:rPr>
        <w:t>survivors</w:t>
      </w:r>
      <w:r w:rsidR="00A071C7">
        <w:rPr>
          <w:rFonts w:eastAsia="MS Mincho" w:cs="Times New Roman"/>
          <w:bCs w:val="0"/>
        </w:rPr>
        <w:t xml:space="preserve"> and </w:t>
      </w:r>
      <w:r>
        <w:rPr>
          <w:rFonts w:eastAsia="MS Mincho" w:cs="Times New Roman"/>
          <w:bCs w:val="0"/>
        </w:rPr>
        <w:t>victims benefitted not only from emergency health care, but also from other assistance, including psycho-social treatment and rehabilitation</w:t>
      </w:r>
      <w:r w:rsidR="00C644F7">
        <w:rPr>
          <w:rFonts w:eastAsia="MS Mincho" w:cs="Times New Roman"/>
          <w:bCs w:val="0"/>
        </w:rPr>
        <w:t xml:space="preserve"> as well as the opportunities for development, improved livelihoods and social inclusion</w:t>
      </w:r>
      <w:r>
        <w:rPr>
          <w:rFonts w:eastAsia="MS Mincho" w:cs="Times New Roman"/>
          <w:bCs w:val="0"/>
        </w:rPr>
        <w:t xml:space="preserve">. </w:t>
      </w:r>
    </w:p>
    <w:p w14:paraId="772624D0" w14:textId="77777777" w:rsidR="006029A1" w:rsidRDefault="006029A1" w:rsidP="00AE7137">
      <w:pPr>
        <w:spacing w:line="240" w:lineRule="auto"/>
        <w:jc w:val="both"/>
        <w:rPr>
          <w:rFonts w:eastAsia="MS Mincho" w:cs="Times New Roman"/>
          <w:bCs w:val="0"/>
        </w:rPr>
      </w:pPr>
    </w:p>
    <w:p w14:paraId="4825A417" w14:textId="4BC246E2" w:rsidR="00FD185D" w:rsidRDefault="00B75272" w:rsidP="00AE7137">
      <w:p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>In the context of the 2030 Agenda, demonstrate that victim assistance contributes to the overarching goal of “Leaving No One Behind”</w:t>
      </w:r>
      <w:r w:rsidR="00FD185D">
        <w:rPr>
          <w:rFonts w:eastAsia="MS Mincho" w:cs="Times New Roman"/>
          <w:bCs w:val="0"/>
        </w:rPr>
        <w:t>.</w:t>
      </w:r>
    </w:p>
    <w:p w14:paraId="6714D6D4" w14:textId="77777777" w:rsidR="00584A5C" w:rsidRDefault="00B75272" w:rsidP="00AE7137">
      <w:p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 </w:t>
      </w:r>
    </w:p>
    <w:p w14:paraId="25826001" w14:textId="77777777" w:rsidR="008C1795" w:rsidRDefault="00E85B55" w:rsidP="00AE7137">
      <w:pPr>
        <w:spacing w:line="240" w:lineRule="auto"/>
        <w:contextualSpacing/>
        <w:jc w:val="both"/>
        <w:rPr>
          <w:rFonts w:eastAsia="MS Mincho" w:cs="Times New Roman"/>
          <w:b/>
          <w:bCs w:val="0"/>
          <w:u w:val="single"/>
        </w:rPr>
      </w:pPr>
      <w:r w:rsidRPr="003D1EB7">
        <w:rPr>
          <w:rFonts w:eastAsia="MS Mincho" w:cs="Times New Roman"/>
          <w:b/>
          <w:bCs w:val="0"/>
          <w:u w:val="single"/>
        </w:rPr>
        <w:t>Format for the Plenary: (</w:t>
      </w:r>
      <w:r w:rsidR="00763075">
        <w:rPr>
          <w:rFonts w:eastAsia="MS Mincho" w:cs="Times New Roman"/>
          <w:b/>
          <w:bCs w:val="0"/>
          <w:u w:val="single"/>
        </w:rPr>
        <w:t>75</w:t>
      </w:r>
      <w:r w:rsidRPr="003D1EB7">
        <w:rPr>
          <w:rFonts w:eastAsia="MS Mincho" w:cs="Times New Roman"/>
          <w:b/>
          <w:bCs w:val="0"/>
          <w:u w:val="single"/>
        </w:rPr>
        <w:t xml:space="preserve"> minutes)</w:t>
      </w:r>
    </w:p>
    <w:p w14:paraId="2DAF833B" w14:textId="27541ADC" w:rsidR="00BF5308" w:rsidRPr="003D1EB7" w:rsidRDefault="002E6698" w:rsidP="009C45F1">
      <w:pPr>
        <w:spacing w:line="240" w:lineRule="auto"/>
        <w:contextualSpacing/>
        <w:jc w:val="both"/>
        <w:rPr>
          <w:rFonts w:eastAsia="MS Mincho" w:cs="Times New Roman"/>
          <w:b/>
          <w:bCs w:val="0"/>
        </w:rPr>
      </w:pPr>
      <w:r>
        <w:rPr>
          <w:rFonts w:eastAsia="MS Mincho" w:cs="Times New Roman"/>
          <w:bCs w:val="0"/>
        </w:rPr>
        <w:t xml:space="preserve">Introductory remarks by </w:t>
      </w:r>
      <w:r w:rsidR="00AD2717">
        <w:rPr>
          <w:rFonts w:eastAsia="MS Mincho" w:cs="Times New Roman"/>
          <w:bCs w:val="0"/>
        </w:rPr>
        <w:t>Chair</w:t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 w:rsidR="00BF5308" w:rsidRPr="003D1EB7">
        <w:rPr>
          <w:rFonts w:eastAsia="MS Mincho" w:cs="Times New Roman"/>
          <w:bCs w:val="0"/>
        </w:rPr>
        <w:tab/>
      </w:r>
      <w:r w:rsidR="00BF5308" w:rsidRPr="003D1EB7">
        <w:rPr>
          <w:rFonts w:eastAsia="MS Mincho" w:cs="Times New Roman"/>
          <w:bCs w:val="0"/>
        </w:rPr>
        <w:tab/>
      </w:r>
      <w:r w:rsidR="00ED756B" w:rsidRPr="003D1EB7">
        <w:rPr>
          <w:rFonts w:eastAsia="MS Mincho" w:cs="Times New Roman"/>
          <w:bCs w:val="0"/>
        </w:rPr>
        <w:tab/>
      </w:r>
      <w:r w:rsidR="009951A9">
        <w:rPr>
          <w:rFonts w:eastAsia="MS Mincho" w:cs="Times New Roman"/>
          <w:bCs w:val="0"/>
        </w:rPr>
        <w:tab/>
      </w:r>
      <w:r w:rsidR="00763075">
        <w:rPr>
          <w:rFonts w:eastAsia="MS Mincho" w:cs="Times New Roman"/>
          <w:bCs w:val="0"/>
        </w:rPr>
        <w:t>10</w:t>
      </w:r>
      <w:r w:rsidR="00BF5308" w:rsidRPr="003D1EB7">
        <w:rPr>
          <w:rFonts w:eastAsia="MS Mincho" w:cs="Times New Roman"/>
          <w:bCs w:val="0"/>
        </w:rPr>
        <w:t xml:space="preserve"> minutes</w:t>
      </w:r>
    </w:p>
    <w:p w14:paraId="414A4C65" w14:textId="74E4E0F5" w:rsidR="00A24CBC" w:rsidRDefault="00A24CBC" w:rsidP="00AE7137">
      <w:pPr>
        <w:spacing w:line="240" w:lineRule="auto"/>
        <w:jc w:val="both"/>
        <w:rPr>
          <w:rFonts w:cs="Times New Roman"/>
        </w:rPr>
      </w:pPr>
      <w:r w:rsidRPr="003D1EB7">
        <w:rPr>
          <w:rFonts w:cs="Times New Roman"/>
        </w:rPr>
        <w:t>Presentation by</w:t>
      </w:r>
      <w:r>
        <w:rPr>
          <w:rFonts w:cs="Times New Roman"/>
        </w:rPr>
        <w:t xml:space="preserve"> </w:t>
      </w:r>
      <w:r w:rsidR="00AD317B">
        <w:rPr>
          <w:rFonts w:cs="Times New Roman"/>
        </w:rPr>
        <w:t xml:space="preserve">H.E. </w:t>
      </w:r>
      <w:proofErr w:type="spellStart"/>
      <w:r w:rsidR="00AD317B">
        <w:rPr>
          <w:rFonts w:cs="Times New Roman"/>
        </w:rPr>
        <w:t>Prum</w:t>
      </w:r>
      <w:proofErr w:type="spellEnd"/>
      <w:r w:rsidR="00AD317B">
        <w:rPr>
          <w:rFonts w:cs="Times New Roman"/>
        </w:rPr>
        <w:t xml:space="preserve"> </w:t>
      </w:r>
      <w:proofErr w:type="spellStart"/>
      <w:r w:rsidR="00AD317B">
        <w:rPr>
          <w:rFonts w:cs="Times New Roman"/>
        </w:rPr>
        <w:t>Sophakmonkol</w:t>
      </w:r>
      <w:proofErr w:type="spellEnd"/>
      <w:r w:rsidR="00030205">
        <w:tab/>
      </w:r>
      <w:r w:rsidR="00030205">
        <w:tab/>
      </w:r>
      <w:r w:rsidR="00030205">
        <w:tab/>
      </w:r>
      <w:r w:rsidR="00030205">
        <w:tab/>
      </w:r>
      <w:r w:rsidR="00030205">
        <w:tab/>
      </w:r>
      <w:r w:rsidR="00030205">
        <w:tab/>
      </w:r>
      <w:r w:rsidR="00AD2717">
        <w:t>15</w:t>
      </w:r>
      <w:r w:rsidR="00731B4C">
        <w:t xml:space="preserve"> m</w:t>
      </w:r>
      <w:r>
        <w:t>inutes</w:t>
      </w:r>
    </w:p>
    <w:p w14:paraId="6BDDB9D2" w14:textId="10757309" w:rsidR="003D1EB7" w:rsidRPr="003D1EB7" w:rsidRDefault="003D1EB7" w:rsidP="00AE713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cs="Times New Roman"/>
        </w:rPr>
        <w:t>Presentation by</w:t>
      </w:r>
      <w:r w:rsidR="000407D0">
        <w:rPr>
          <w:rFonts w:cs="Times New Roman"/>
        </w:rPr>
        <w:t xml:space="preserve"> </w:t>
      </w:r>
      <w:r w:rsidR="00F670AA">
        <w:rPr>
          <w:rFonts w:cs="Times New Roman"/>
        </w:rPr>
        <w:t xml:space="preserve">Mr. </w:t>
      </w:r>
      <w:proofErr w:type="spellStart"/>
      <w:r w:rsidR="00F670AA">
        <w:rPr>
          <w:rFonts w:cs="Times New Roman"/>
        </w:rPr>
        <w:t>Muhabbat</w:t>
      </w:r>
      <w:proofErr w:type="spellEnd"/>
      <w:r w:rsidR="00F670AA">
        <w:rPr>
          <w:rFonts w:cs="Times New Roman"/>
        </w:rPr>
        <w:t xml:space="preserve"> </w:t>
      </w:r>
      <w:proofErr w:type="spellStart"/>
      <w:r w:rsidR="00F670AA">
        <w:rPr>
          <w:rFonts w:cs="Times New Roman"/>
        </w:rPr>
        <w:t>Ibrohimzoda</w:t>
      </w:r>
      <w:proofErr w:type="spellEnd"/>
      <w:r w:rsidRPr="003D1EB7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30205">
        <w:rPr>
          <w:rFonts w:cs="Times New Roman"/>
        </w:rPr>
        <w:tab/>
      </w:r>
      <w:r w:rsidR="00030205">
        <w:rPr>
          <w:rFonts w:cs="Times New Roman"/>
        </w:rPr>
        <w:tab/>
      </w:r>
      <w:r w:rsidR="009951A9">
        <w:rPr>
          <w:rFonts w:cs="Times New Roman"/>
        </w:rPr>
        <w:tab/>
      </w:r>
      <w:r w:rsidR="00AD2717">
        <w:rPr>
          <w:rFonts w:cs="Times New Roman"/>
        </w:rPr>
        <w:t>15</w:t>
      </w:r>
      <w:r w:rsidRPr="003D1EB7">
        <w:rPr>
          <w:rFonts w:cs="Times New Roman"/>
        </w:rPr>
        <w:t xml:space="preserve"> minutes</w:t>
      </w:r>
    </w:p>
    <w:p w14:paraId="342E901F" w14:textId="7A8F80BB" w:rsidR="00E9236A" w:rsidRPr="003C2C6C" w:rsidRDefault="00E9236A" w:rsidP="00AE7137">
      <w:pPr>
        <w:spacing w:line="240" w:lineRule="auto"/>
        <w:jc w:val="both"/>
        <w:rPr>
          <w:rFonts w:eastAsia="MS Mincho" w:cs="Times New Roman"/>
          <w:bCs w:val="0"/>
        </w:rPr>
      </w:pPr>
      <w:r w:rsidRPr="003D1EB7">
        <w:rPr>
          <w:rFonts w:eastAsia="MS Mincho" w:cs="Times New Roman"/>
          <w:bCs w:val="0"/>
        </w:rPr>
        <w:t>Presentation by</w:t>
      </w:r>
      <w:r w:rsidR="00DF2849">
        <w:rPr>
          <w:rFonts w:eastAsia="MS Mincho" w:cs="Times New Roman"/>
          <w:bCs w:val="0"/>
        </w:rPr>
        <w:t xml:space="preserve"> </w:t>
      </w:r>
      <w:r w:rsidR="006D70F0">
        <w:rPr>
          <w:rFonts w:eastAsia="MS Mincho" w:cs="Times New Roman"/>
          <w:bCs w:val="0"/>
        </w:rPr>
        <w:t xml:space="preserve">Ms. </w:t>
      </w:r>
      <w:r w:rsidR="000407D0" w:rsidRPr="000407D0">
        <w:rPr>
          <w:rFonts w:eastAsia="MS Mincho" w:cs="Times New Roman"/>
          <w:bCs w:val="0"/>
        </w:rPr>
        <w:t>Sarah Harrison</w:t>
      </w:r>
      <w:r w:rsidR="008C1795">
        <w:rPr>
          <w:rFonts w:eastAsia="MS Mincho" w:cs="Times New Roman"/>
          <w:bCs w:val="0"/>
        </w:rPr>
        <w:tab/>
      </w:r>
      <w:r w:rsidR="008C1795">
        <w:rPr>
          <w:rFonts w:eastAsia="MS Mincho" w:cs="Times New Roman"/>
          <w:bCs w:val="0"/>
        </w:rPr>
        <w:tab/>
      </w:r>
      <w:r w:rsidR="008C1795">
        <w:rPr>
          <w:rFonts w:eastAsia="MS Mincho" w:cs="Times New Roman"/>
          <w:bCs w:val="0"/>
        </w:rPr>
        <w:tab/>
      </w:r>
      <w:r w:rsidR="008C1795">
        <w:rPr>
          <w:rFonts w:eastAsia="MS Mincho" w:cs="Times New Roman"/>
          <w:bCs w:val="0"/>
        </w:rPr>
        <w:tab/>
      </w:r>
      <w:r w:rsidR="008C1795">
        <w:rPr>
          <w:rFonts w:eastAsia="MS Mincho" w:cs="Times New Roman"/>
          <w:bCs w:val="0"/>
        </w:rPr>
        <w:tab/>
      </w:r>
      <w:r w:rsidR="008C1795">
        <w:rPr>
          <w:rFonts w:eastAsia="MS Mincho" w:cs="Times New Roman"/>
          <w:bCs w:val="0"/>
        </w:rPr>
        <w:tab/>
      </w:r>
      <w:r w:rsidR="008C1795"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>1</w:t>
      </w:r>
      <w:r w:rsidR="00AD2717">
        <w:rPr>
          <w:rFonts w:eastAsia="MS Mincho" w:cs="Times New Roman"/>
          <w:bCs w:val="0"/>
        </w:rPr>
        <w:t>5</w:t>
      </w:r>
      <w:r>
        <w:rPr>
          <w:rFonts w:eastAsia="MS Mincho" w:cs="Times New Roman"/>
          <w:bCs w:val="0"/>
        </w:rPr>
        <w:t xml:space="preserve"> </w:t>
      </w:r>
      <w:r w:rsidRPr="003C2C6C">
        <w:rPr>
          <w:rFonts w:eastAsia="MS Mincho" w:cs="Times New Roman"/>
          <w:bCs w:val="0"/>
        </w:rPr>
        <w:t>minutes</w:t>
      </w:r>
    </w:p>
    <w:p w14:paraId="795BBF36" w14:textId="77777777" w:rsidR="00BF5308" w:rsidRPr="003D1EB7" w:rsidRDefault="00BF5308" w:rsidP="00AE7137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eastAsia="MS Mincho" w:cs="Times New Roman"/>
          <w:bCs w:val="0"/>
          <w:lang w:val="en-US"/>
        </w:rPr>
        <w:t>Discussion and Q &amp; A</w:t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="00ED756B" w:rsidRPr="003D1EB7">
        <w:rPr>
          <w:rFonts w:eastAsia="MS Mincho" w:cs="Times New Roman"/>
          <w:bCs w:val="0"/>
          <w:lang w:val="en-US"/>
        </w:rPr>
        <w:tab/>
      </w:r>
      <w:r w:rsidR="008C1795">
        <w:rPr>
          <w:rFonts w:eastAsia="MS Mincho" w:cs="Times New Roman"/>
          <w:bCs w:val="0"/>
          <w:lang w:val="en-US"/>
        </w:rPr>
        <w:tab/>
      </w:r>
      <w:r w:rsidR="00731B4C">
        <w:rPr>
          <w:rFonts w:eastAsia="MS Mincho" w:cs="Times New Roman"/>
          <w:bCs w:val="0"/>
          <w:lang w:val="en-US"/>
        </w:rPr>
        <w:t>1</w:t>
      </w:r>
      <w:r w:rsidR="00AD2717">
        <w:rPr>
          <w:rFonts w:eastAsia="MS Mincho" w:cs="Times New Roman"/>
          <w:bCs w:val="0"/>
          <w:lang w:val="en-US"/>
        </w:rPr>
        <w:t>5</w:t>
      </w:r>
      <w:r w:rsidRPr="003D1EB7">
        <w:rPr>
          <w:rFonts w:eastAsia="MS Mincho" w:cs="Times New Roman"/>
          <w:bCs w:val="0"/>
          <w:lang w:val="en-US"/>
        </w:rPr>
        <w:t xml:space="preserve"> minutes</w:t>
      </w:r>
    </w:p>
    <w:p w14:paraId="4FC38589" w14:textId="6545444F" w:rsidR="00BF5308" w:rsidRPr="003D1EB7" w:rsidRDefault="00BF5308" w:rsidP="00AE7137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eastAsia="MS Mincho" w:cs="Times New Roman"/>
          <w:bCs w:val="0"/>
          <w:lang w:val="en-US"/>
        </w:rPr>
        <w:t>Closing remarks by the</w:t>
      </w:r>
      <w:r w:rsidRPr="003D1EB7">
        <w:rPr>
          <w:rFonts w:eastAsia="MS Mincho" w:cs="Times New Roman"/>
          <w:bCs w:val="0"/>
        </w:rPr>
        <w:t xml:space="preserve"> Chair</w:t>
      </w:r>
      <w:r w:rsidR="00584A5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="00ED756B" w:rsidRPr="003D1EB7">
        <w:rPr>
          <w:rFonts w:eastAsia="MS Mincho" w:cs="Times New Roman"/>
          <w:bCs w:val="0"/>
          <w:lang w:val="en-US"/>
        </w:rPr>
        <w:tab/>
      </w:r>
      <w:r w:rsidR="00030205">
        <w:rPr>
          <w:rFonts w:eastAsia="MS Mincho" w:cs="Times New Roman"/>
          <w:bCs w:val="0"/>
          <w:lang w:val="en-US"/>
        </w:rPr>
        <w:tab/>
      </w:r>
      <w:proofErr w:type="gramStart"/>
      <w:r w:rsidR="008C1795">
        <w:rPr>
          <w:rFonts w:eastAsia="MS Mincho" w:cs="Times New Roman"/>
          <w:bCs w:val="0"/>
          <w:lang w:val="en-US"/>
        </w:rPr>
        <w:tab/>
      </w:r>
      <w:r w:rsidR="00253B7C">
        <w:rPr>
          <w:rFonts w:eastAsia="MS Mincho" w:cs="Times New Roman"/>
          <w:bCs w:val="0"/>
          <w:lang w:val="en-US"/>
        </w:rPr>
        <w:t xml:space="preserve">  </w:t>
      </w:r>
      <w:r w:rsidR="00731B4C">
        <w:rPr>
          <w:rFonts w:eastAsia="MS Mincho" w:cs="Times New Roman"/>
          <w:bCs w:val="0"/>
          <w:lang w:val="en-US"/>
        </w:rPr>
        <w:t>5</w:t>
      </w:r>
      <w:proofErr w:type="gramEnd"/>
      <w:r w:rsidR="00BD222B">
        <w:rPr>
          <w:rFonts w:eastAsia="MS Mincho" w:cs="Times New Roman"/>
          <w:bCs w:val="0"/>
          <w:lang w:val="en-US"/>
        </w:rPr>
        <w:t xml:space="preserve"> </w:t>
      </w:r>
      <w:r w:rsidRPr="003D1EB7">
        <w:rPr>
          <w:rFonts w:eastAsia="MS Mincho" w:cs="Times New Roman"/>
          <w:bCs w:val="0"/>
          <w:lang w:val="en-US"/>
        </w:rPr>
        <w:t>minutes</w:t>
      </w:r>
    </w:p>
    <w:p w14:paraId="1AE6A99F" w14:textId="77777777" w:rsidR="00E85B55" w:rsidRPr="00501BC9" w:rsidRDefault="00E85B55" w:rsidP="00AE7137">
      <w:pPr>
        <w:spacing w:line="240" w:lineRule="auto"/>
        <w:rPr>
          <w:rFonts w:eastAsia="MS Mincho" w:cs="Times New Roman"/>
          <w:b/>
          <w:bCs w:val="0"/>
          <w:sz w:val="16"/>
          <w:szCs w:val="16"/>
          <w:u w:val="single"/>
          <w:lang w:val="en-US"/>
        </w:rPr>
      </w:pPr>
    </w:p>
    <w:p w14:paraId="139A4D2B" w14:textId="0EB04681" w:rsidR="00501BC9" w:rsidRDefault="00855A25" w:rsidP="00265DC2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>Food for Thought:</w:t>
      </w:r>
    </w:p>
    <w:p w14:paraId="1B8D7DD6" w14:textId="77777777" w:rsidR="00265DC2" w:rsidRPr="003D1EB7" w:rsidRDefault="00265DC2" w:rsidP="00265DC2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bookmarkStart w:id="0" w:name="_GoBack"/>
      <w:bookmarkEnd w:id="0"/>
    </w:p>
    <w:p w14:paraId="13070051" w14:textId="73D886A2" w:rsidR="00E85B55" w:rsidRPr="009951A9" w:rsidRDefault="009951A9" w:rsidP="00AE7137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 xml:space="preserve">How </w:t>
      </w:r>
      <w:r w:rsidR="008C1795">
        <w:rPr>
          <w:rFonts w:eastAsia="MS Mincho" w:cs="Times New Roman"/>
          <w:bCs w:val="0"/>
          <w:lang w:val="en-US"/>
        </w:rPr>
        <w:t xml:space="preserve">assistance to survivors </w:t>
      </w:r>
      <w:r w:rsidR="006029A1">
        <w:rPr>
          <w:rFonts w:eastAsia="MS Mincho" w:cs="Times New Roman"/>
          <w:bCs w:val="0"/>
          <w:lang w:val="en-US"/>
        </w:rPr>
        <w:t xml:space="preserve">and </w:t>
      </w:r>
      <w:proofErr w:type="spellStart"/>
      <w:r w:rsidR="006029A1">
        <w:rPr>
          <w:rFonts w:eastAsia="MS Mincho" w:cs="Times New Roman"/>
          <w:bCs w:val="0"/>
          <w:lang w:val="en-US"/>
        </w:rPr>
        <w:t>victims</w:t>
      </w:r>
      <w:proofErr w:type="spellEnd"/>
      <w:r w:rsidR="006029A1">
        <w:rPr>
          <w:rFonts w:eastAsia="MS Mincho" w:cs="Times New Roman"/>
          <w:bCs w:val="0"/>
          <w:lang w:val="en-US"/>
        </w:rPr>
        <w:t xml:space="preserve"> </w:t>
      </w:r>
      <w:r>
        <w:rPr>
          <w:rFonts w:eastAsia="MS Mincho" w:cs="Times New Roman"/>
          <w:bCs w:val="0"/>
          <w:lang w:val="en-US"/>
        </w:rPr>
        <w:t xml:space="preserve">contributes to the bigger agenda of “Leaving No One Behind”? </w:t>
      </w:r>
      <w:r w:rsidR="00AD2717" w:rsidRPr="009951A9">
        <w:rPr>
          <w:rFonts w:eastAsia="MS Mincho" w:cs="Times New Roman"/>
          <w:bCs w:val="0"/>
          <w:lang w:val="en-US"/>
        </w:rPr>
        <w:t xml:space="preserve"> </w:t>
      </w:r>
    </w:p>
    <w:p w14:paraId="0EA3EFC8" w14:textId="77777777" w:rsidR="009951A9" w:rsidRPr="009951A9" w:rsidRDefault="008C1795" w:rsidP="00824D53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065BD6">
        <w:rPr>
          <w:rFonts w:eastAsia="MS Mincho" w:cs="Times New Roman"/>
          <w:bCs w:val="0"/>
          <w:lang w:val="en-US"/>
        </w:rPr>
        <w:t>What approaches of assistance to victims/survivors proved to be most effective?</w:t>
      </w:r>
    </w:p>
    <w:sectPr w:rsidR="009951A9" w:rsidRPr="009951A9" w:rsidSect="00265DC2">
      <w:headerReference w:type="default" r:id="rId8"/>
      <w:pgSz w:w="11906" w:h="16838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D127" w14:textId="77777777" w:rsidR="00312CBE" w:rsidRDefault="00312CBE">
      <w:r>
        <w:separator/>
      </w:r>
    </w:p>
  </w:endnote>
  <w:endnote w:type="continuationSeparator" w:id="0">
    <w:p w14:paraId="54A37EE2" w14:textId="77777777" w:rsidR="00312CBE" w:rsidRDefault="0031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E191" w14:textId="77777777" w:rsidR="00312CBE" w:rsidRDefault="00312CBE">
      <w:r>
        <w:separator/>
      </w:r>
    </w:p>
  </w:footnote>
  <w:footnote w:type="continuationSeparator" w:id="0">
    <w:p w14:paraId="4C8747EB" w14:textId="77777777" w:rsidR="00312CBE" w:rsidRDefault="0031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B2A4" w14:textId="77777777" w:rsidR="00E83341" w:rsidRPr="00E83341" w:rsidRDefault="008B4F37" w:rsidP="00E83341">
    <w:pPr>
      <w:pStyle w:val="Header"/>
      <w:jc w:val="center"/>
      <w:rPr>
        <w:lang w:val="en-US"/>
      </w:rPr>
    </w:pPr>
    <w:r>
      <w:rPr>
        <w:lang w:val="en-US"/>
      </w:rPr>
      <w:t>22</w:t>
    </w:r>
    <w:r w:rsidR="00E83341">
      <w:rPr>
        <w:lang w:val="en-US"/>
      </w:rPr>
      <w:t xml:space="preserve"> NDM-UN Plenary Background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191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A2181"/>
    <w:multiLevelType w:val="hybridMultilevel"/>
    <w:tmpl w:val="BF8E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82326"/>
    <w:multiLevelType w:val="hybridMultilevel"/>
    <w:tmpl w:val="41E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36E"/>
    <w:multiLevelType w:val="hybridMultilevel"/>
    <w:tmpl w:val="22E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4280"/>
    <w:multiLevelType w:val="hybridMultilevel"/>
    <w:tmpl w:val="F8B013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405BC"/>
    <w:multiLevelType w:val="hybridMultilevel"/>
    <w:tmpl w:val="AB4035DC"/>
    <w:lvl w:ilvl="0" w:tplc="AA561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6A1A"/>
    <w:multiLevelType w:val="hybridMultilevel"/>
    <w:tmpl w:val="7B388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6F7D06"/>
    <w:multiLevelType w:val="hybridMultilevel"/>
    <w:tmpl w:val="65D2A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E63F6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E759C2"/>
    <w:multiLevelType w:val="hybridMultilevel"/>
    <w:tmpl w:val="C86C71D8"/>
    <w:lvl w:ilvl="0" w:tplc="85DE2C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64A1"/>
    <w:multiLevelType w:val="hybridMultilevel"/>
    <w:tmpl w:val="8396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BA"/>
    <w:rsid w:val="00016406"/>
    <w:rsid w:val="000222CA"/>
    <w:rsid w:val="00030205"/>
    <w:rsid w:val="00030B30"/>
    <w:rsid w:val="0003200A"/>
    <w:rsid w:val="000407D0"/>
    <w:rsid w:val="00042141"/>
    <w:rsid w:val="0005061B"/>
    <w:rsid w:val="0005270B"/>
    <w:rsid w:val="00060ED9"/>
    <w:rsid w:val="00065BD6"/>
    <w:rsid w:val="00072664"/>
    <w:rsid w:val="000920AF"/>
    <w:rsid w:val="0009540F"/>
    <w:rsid w:val="0009578D"/>
    <w:rsid w:val="000B4050"/>
    <w:rsid w:val="000D3814"/>
    <w:rsid w:val="000D452E"/>
    <w:rsid w:val="000E1DAE"/>
    <w:rsid w:val="000E34BA"/>
    <w:rsid w:val="000E5083"/>
    <w:rsid w:val="000F754E"/>
    <w:rsid w:val="00101880"/>
    <w:rsid w:val="0010691B"/>
    <w:rsid w:val="00120BF6"/>
    <w:rsid w:val="00132742"/>
    <w:rsid w:val="00140E90"/>
    <w:rsid w:val="00146D7E"/>
    <w:rsid w:val="001539D1"/>
    <w:rsid w:val="00174545"/>
    <w:rsid w:val="00181C72"/>
    <w:rsid w:val="00191735"/>
    <w:rsid w:val="001975FF"/>
    <w:rsid w:val="001B211A"/>
    <w:rsid w:val="001B5704"/>
    <w:rsid w:val="001D6253"/>
    <w:rsid w:val="001F249F"/>
    <w:rsid w:val="002018FC"/>
    <w:rsid w:val="00207CEA"/>
    <w:rsid w:val="00222A05"/>
    <w:rsid w:val="00230641"/>
    <w:rsid w:val="00243455"/>
    <w:rsid w:val="00253B7C"/>
    <w:rsid w:val="00265DC2"/>
    <w:rsid w:val="00273157"/>
    <w:rsid w:val="002B42E6"/>
    <w:rsid w:val="002B4622"/>
    <w:rsid w:val="002C7EAE"/>
    <w:rsid w:val="002D4293"/>
    <w:rsid w:val="002D5B87"/>
    <w:rsid w:val="002E6698"/>
    <w:rsid w:val="002F72EE"/>
    <w:rsid w:val="00310536"/>
    <w:rsid w:val="00312CBE"/>
    <w:rsid w:val="00322A9E"/>
    <w:rsid w:val="00327FCF"/>
    <w:rsid w:val="00330F9A"/>
    <w:rsid w:val="00331191"/>
    <w:rsid w:val="0035791C"/>
    <w:rsid w:val="003637CA"/>
    <w:rsid w:val="00365FFA"/>
    <w:rsid w:val="0037582D"/>
    <w:rsid w:val="0039054F"/>
    <w:rsid w:val="003B29D2"/>
    <w:rsid w:val="003C2C6C"/>
    <w:rsid w:val="003C4781"/>
    <w:rsid w:val="003C6CB1"/>
    <w:rsid w:val="003D1EB7"/>
    <w:rsid w:val="003D2E9C"/>
    <w:rsid w:val="003E6654"/>
    <w:rsid w:val="004013EE"/>
    <w:rsid w:val="00403520"/>
    <w:rsid w:val="00415E83"/>
    <w:rsid w:val="004208B4"/>
    <w:rsid w:val="00431C6A"/>
    <w:rsid w:val="00446151"/>
    <w:rsid w:val="00451BD9"/>
    <w:rsid w:val="00463D4E"/>
    <w:rsid w:val="00493641"/>
    <w:rsid w:val="00494F90"/>
    <w:rsid w:val="0049562A"/>
    <w:rsid w:val="004C2FA9"/>
    <w:rsid w:val="004E7746"/>
    <w:rsid w:val="00501BC9"/>
    <w:rsid w:val="0050408F"/>
    <w:rsid w:val="00513FDB"/>
    <w:rsid w:val="005165AF"/>
    <w:rsid w:val="0053094D"/>
    <w:rsid w:val="00552A85"/>
    <w:rsid w:val="005560D8"/>
    <w:rsid w:val="00571B22"/>
    <w:rsid w:val="00582AD0"/>
    <w:rsid w:val="00584A5C"/>
    <w:rsid w:val="005A6329"/>
    <w:rsid w:val="005B1238"/>
    <w:rsid w:val="005B5B38"/>
    <w:rsid w:val="005C336D"/>
    <w:rsid w:val="005D4479"/>
    <w:rsid w:val="005E0ACC"/>
    <w:rsid w:val="005E3FC5"/>
    <w:rsid w:val="005E48C0"/>
    <w:rsid w:val="006029A1"/>
    <w:rsid w:val="006217FD"/>
    <w:rsid w:val="00624893"/>
    <w:rsid w:val="0062547E"/>
    <w:rsid w:val="00647AEC"/>
    <w:rsid w:val="00650D76"/>
    <w:rsid w:val="00665622"/>
    <w:rsid w:val="00666048"/>
    <w:rsid w:val="006712BD"/>
    <w:rsid w:val="00676642"/>
    <w:rsid w:val="00690627"/>
    <w:rsid w:val="006A4B78"/>
    <w:rsid w:val="006A7900"/>
    <w:rsid w:val="006B23B2"/>
    <w:rsid w:val="006D70F0"/>
    <w:rsid w:val="00700B40"/>
    <w:rsid w:val="00703923"/>
    <w:rsid w:val="00707314"/>
    <w:rsid w:val="00721A6E"/>
    <w:rsid w:val="007257DC"/>
    <w:rsid w:val="00731B4C"/>
    <w:rsid w:val="00737D4A"/>
    <w:rsid w:val="00741B28"/>
    <w:rsid w:val="00743F19"/>
    <w:rsid w:val="0074588D"/>
    <w:rsid w:val="00753699"/>
    <w:rsid w:val="00754F3F"/>
    <w:rsid w:val="007617D3"/>
    <w:rsid w:val="00763075"/>
    <w:rsid w:val="0077722A"/>
    <w:rsid w:val="00783C8E"/>
    <w:rsid w:val="00790EB0"/>
    <w:rsid w:val="00792326"/>
    <w:rsid w:val="007A113A"/>
    <w:rsid w:val="007A2A1C"/>
    <w:rsid w:val="007A3D8C"/>
    <w:rsid w:val="007A76E7"/>
    <w:rsid w:val="007E1A18"/>
    <w:rsid w:val="008009EC"/>
    <w:rsid w:val="008145D6"/>
    <w:rsid w:val="00855A25"/>
    <w:rsid w:val="008604AD"/>
    <w:rsid w:val="00864830"/>
    <w:rsid w:val="00876F8F"/>
    <w:rsid w:val="008916A9"/>
    <w:rsid w:val="008A07E0"/>
    <w:rsid w:val="008A11A1"/>
    <w:rsid w:val="008A186A"/>
    <w:rsid w:val="008B231B"/>
    <w:rsid w:val="008B4F37"/>
    <w:rsid w:val="008B625A"/>
    <w:rsid w:val="008C1795"/>
    <w:rsid w:val="008D1F74"/>
    <w:rsid w:val="008D2C26"/>
    <w:rsid w:val="008D2F29"/>
    <w:rsid w:val="008F1C94"/>
    <w:rsid w:val="008F213B"/>
    <w:rsid w:val="009048CE"/>
    <w:rsid w:val="0090640F"/>
    <w:rsid w:val="00922867"/>
    <w:rsid w:val="0096551D"/>
    <w:rsid w:val="00975B80"/>
    <w:rsid w:val="00984812"/>
    <w:rsid w:val="009951A9"/>
    <w:rsid w:val="009B0237"/>
    <w:rsid w:val="009B0FD6"/>
    <w:rsid w:val="009B50BA"/>
    <w:rsid w:val="009B5879"/>
    <w:rsid w:val="009C45F1"/>
    <w:rsid w:val="009D41AB"/>
    <w:rsid w:val="009E06C5"/>
    <w:rsid w:val="009E4452"/>
    <w:rsid w:val="009E68BB"/>
    <w:rsid w:val="009F5C6F"/>
    <w:rsid w:val="00A04527"/>
    <w:rsid w:val="00A071C7"/>
    <w:rsid w:val="00A10C43"/>
    <w:rsid w:val="00A1163E"/>
    <w:rsid w:val="00A24CBC"/>
    <w:rsid w:val="00A425AE"/>
    <w:rsid w:val="00A43216"/>
    <w:rsid w:val="00A4535F"/>
    <w:rsid w:val="00A466B5"/>
    <w:rsid w:val="00A53626"/>
    <w:rsid w:val="00A76230"/>
    <w:rsid w:val="00A84DDF"/>
    <w:rsid w:val="00A92D16"/>
    <w:rsid w:val="00A94C4C"/>
    <w:rsid w:val="00AB6FB3"/>
    <w:rsid w:val="00AC29FF"/>
    <w:rsid w:val="00AC6240"/>
    <w:rsid w:val="00AD16C5"/>
    <w:rsid w:val="00AD2717"/>
    <w:rsid w:val="00AD317B"/>
    <w:rsid w:val="00AE7137"/>
    <w:rsid w:val="00B029E1"/>
    <w:rsid w:val="00B17EA1"/>
    <w:rsid w:val="00B20E55"/>
    <w:rsid w:val="00B4095E"/>
    <w:rsid w:val="00B46B43"/>
    <w:rsid w:val="00B4709E"/>
    <w:rsid w:val="00B552AB"/>
    <w:rsid w:val="00B56CAF"/>
    <w:rsid w:val="00B67A7E"/>
    <w:rsid w:val="00B75272"/>
    <w:rsid w:val="00B7725A"/>
    <w:rsid w:val="00B92F29"/>
    <w:rsid w:val="00B954C6"/>
    <w:rsid w:val="00B95F6B"/>
    <w:rsid w:val="00BA122D"/>
    <w:rsid w:val="00BA2528"/>
    <w:rsid w:val="00BA4E24"/>
    <w:rsid w:val="00BB0A6D"/>
    <w:rsid w:val="00BC7BEB"/>
    <w:rsid w:val="00BD0B28"/>
    <w:rsid w:val="00BD1E27"/>
    <w:rsid w:val="00BD222B"/>
    <w:rsid w:val="00BE20F2"/>
    <w:rsid w:val="00BF5308"/>
    <w:rsid w:val="00BF5DEC"/>
    <w:rsid w:val="00C44B28"/>
    <w:rsid w:val="00C47581"/>
    <w:rsid w:val="00C528EC"/>
    <w:rsid w:val="00C53144"/>
    <w:rsid w:val="00C644F7"/>
    <w:rsid w:val="00C66A99"/>
    <w:rsid w:val="00C7298E"/>
    <w:rsid w:val="00C72F0E"/>
    <w:rsid w:val="00C80367"/>
    <w:rsid w:val="00C85D60"/>
    <w:rsid w:val="00C87AEF"/>
    <w:rsid w:val="00C9719D"/>
    <w:rsid w:val="00CA00BC"/>
    <w:rsid w:val="00CA5893"/>
    <w:rsid w:val="00CD442E"/>
    <w:rsid w:val="00CF2EDA"/>
    <w:rsid w:val="00D030A2"/>
    <w:rsid w:val="00D05224"/>
    <w:rsid w:val="00D0538F"/>
    <w:rsid w:val="00D15A3C"/>
    <w:rsid w:val="00D1738E"/>
    <w:rsid w:val="00D26CB9"/>
    <w:rsid w:val="00D54E4C"/>
    <w:rsid w:val="00D65FD1"/>
    <w:rsid w:val="00D7155F"/>
    <w:rsid w:val="00D916AB"/>
    <w:rsid w:val="00DA2F27"/>
    <w:rsid w:val="00DA3C79"/>
    <w:rsid w:val="00DD4E59"/>
    <w:rsid w:val="00DE5546"/>
    <w:rsid w:val="00DF2849"/>
    <w:rsid w:val="00E042AB"/>
    <w:rsid w:val="00E110F5"/>
    <w:rsid w:val="00E30673"/>
    <w:rsid w:val="00E37AC2"/>
    <w:rsid w:val="00E57971"/>
    <w:rsid w:val="00E626AF"/>
    <w:rsid w:val="00E628B5"/>
    <w:rsid w:val="00E827E9"/>
    <w:rsid w:val="00E83341"/>
    <w:rsid w:val="00E85B55"/>
    <w:rsid w:val="00E85B77"/>
    <w:rsid w:val="00E9236A"/>
    <w:rsid w:val="00EB3568"/>
    <w:rsid w:val="00ED1889"/>
    <w:rsid w:val="00ED756B"/>
    <w:rsid w:val="00EF5047"/>
    <w:rsid w:val="00EF5167"/>
    <w:rsid w:val="00EF66D7"/>
    <w:rsid w:val="00F01579"/>
    <w:rsid w:val="00F042C8"/>
    <w:rsid w:val="00F12F15"/>
    <w:rsid w:val="00F172B7"/>
    <w:rsid w:val="00F34E5D"/>
    <w:rsid w:val="00F402CA"/>
    <w:rsid w:val="00F55927"/>
    <w:rsid w:val="00F65CA6"/>
    <w:rsid w:val="00F670AA"/>
    <w:rsid w:val="00F96B75"/>
    <w:rsid w:val="00F976B4"/>
    <w:rsid w:val="00FA1D97"/>
    <w:rsid w:val="00FB12C7"/>
    <w:rsid w:val="00FB5049"/>
    <w:rsid w:val="00FC6D69"/>
    <w:rsid w:val="00FC76C7"/>
    <w:rsid w:val="00FD185D"/>
    <w:rsid w:val="00FD6494"/>
    <w:rsid w:val="00FD6630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0D8C24"/>
  <w15:docId w15:val="{50B6289A-C652-48D3-ACC8-60819BE4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2E"/>
    <w:pPr>
      <w:spacing w:line="276" w:lineRule="auto"/>
    </w:pPr>
    <w:rPr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D2"/>
    <w:pPr>
      <w:keepNext/>
      <w:keepLines/>
      <w:spacing w:before="48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9D2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List Paragraph1,List Paragraph (numbered (a)),WB Para,Lapis Bulleted List,References,Dot pt,F5 List Paragraph,No Spacing1,List Paragraph Char Char Char,Indicator Text,Numbered Para 1,Bullet 1,Bullet Points,Párrafo de lista,MAIN CONTENT,L"/>
    <w:basedOn w:val="Normal"/>
    <w:link w:val="ListParagraphChar"/>
    <w:uiPriority w:val="34"/>
    <w:qFormat/>
    <w:rsid w:val="0036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F74"/>
    <w:rPr>
      <w:rFonts w:ascii="Tahoma" w:hAnsi="Tahoma" w:cs="Tahoma"/>
      <w:bCs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0506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061B"/>
    <w:rPr>
      <w:rFonts w:cs="Times New Roman"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61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061B"/>
    <w:rPr>
      <w:rFonts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5061B"/>
    <w:rPr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6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141"/>
    <w:rPr>
      <w:rFonts w:cs="Times New Roman"/>
      <w:bCs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D64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List Paragraph1 Char,List Paragraph (numbered (a)) Char,WB Para Char,Lapis Bulleted List Char,References Char,Dot pt Char,F5 List Paragraph Char,No Spacing1 Char,List Paragraph Char Char Char Char,Indicator Text Char,Bullet 1 Char"/>
    <w:link w:val="ListParagraph"/>
    <w:uiPriority w:val="34"/>
    <w:qFormat/>
    <w:locked/>
    <w:rsid w:val="00855A25"/>
    <w:rPr>
      <w:bCs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6B43"/>
    <w:pPr>
      <w:spacing w:line="240" w:lineRule="auto"/>
    </w:pPr>
    <w:rPr>
      <w:rFonts w:ascii="Calibri" w:eastAsia="Times New Roman" w:hAnsi="Calibri" w:cs="Times New Roman"/>
      <w:bCs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6B43"/>
    <w:rPr>
      <w:rFonts w:ascii="Calibri" w:eastAsia="Times New Roman" w:hAnsi="Calibri" w:cs="Times New Roman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763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B63B-3C09-4F5F-BEC0-2D9B7F8D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NOTE</vt:lpstr>
    </vt:vector>
  </TitlesOfParts>
  <Company>UNICEF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NOTE</dc:title>
  <dc:creator>sbaaser</dc:creator>
  <cp:lastModifiedBy>Larisa Khiryanova</cp:lastModifiedBy>
  <cp:revision>3</cp:revision>
  <cp:lastPrinted>2017-02-01T16:40:00Z</cp:lastPrinted>
  <dcterms:created xsi:type="dcterms:W3CDTF">2019-02-01T18:54:00Z</dcterms:created>
  <dcterms:modified xsi:type="dcterms:W3CDTF">2019-02-01T18:57:00Z</dcterms:modified>
</cp:coreProperties>
</file>