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C763" w14:textId="77777777" w:rsidR="009B3229" w:rsidRPr="001B3454" w:rsidRDefault="009B3229">
      <w:pPr>
        <w:rPr>
          <w:rFonts w:cstheme="minorHAnsi"/>
        </w:rPr>
      </w:pPr>
    </w:p>
    <w:p w14:paraId="25B0B9B5" w14:textId="1ACEF4AD" w:rsidR="002328BF" w:rsidRDefault="00093160" w:rsidP="00093160">
      <w:pPr>
        <w:ind w:firstLine="720"/>
        <w:jc w:val="center"/>
        <w:rPr>
          <w:rFonts w:cstheme="minorHAnsi"/>
          <w:b/>
          <w:noProof/>
          <w:sz w:val="28"/>
          <w:szCs w:val="28"/>
        </w:rPr>
      </w:pPr>
      <w:r w:rsidRPr="00093160">
        <w:rPr>
          <w:rFonts w:cstheme="minorHAnsi"/>
          <w:b/>
          <w:noProof/>
          <w:sz w:val="28"/>
          <w:szCs w:val="28"/>
        </w:rPr>
        <w:t xml:space="preserve">Organizational session of the </w:t>
      </w:r>
      <w:bookmarkStart w:id="0" w:name="_Hlk520726960"/>
      <w:r w:rsidRPr="00093160">
        <w:rPr>
          <w:rFonts w:cstheme="minorHAnsi"/>
          <w:b/>
          <w:noProof/>
          <w:sz w:val="28"/>
          <w:szCs w:val="28"/>
        </w:rPr>
        <w:t>Ad hoc open-ended working group, established by General Assembly resolution 72/277 of 10 May 2018</w:t>
      </w:r>
      <w:bookmarkEnd w:id="0"/>
    </w:p>
    <w:p w14:paraId="30FC1268" w14:textId="07D127B4" w:rsidR="00181709" w:rsidRPr="001B3454" w:rsidRDefault="009B3229" w:rsidP="009B3229">
      <w:pPr>
        <w:ind w:firstLine="720"/>
        <w:rPr>
          <w:rFonts w:cstheme="minorHAnsi"/>
          <w:b/>
          <w:sz w:val="28"/>
          <w:szCs w:val="28"/>
        </w:rPr>
      </w:pPr>
      <w:r w:rsidRPr="001B3454">
        <w:rPr>
          <w:rFonts w:cstheme="minorHAnsi"/>
          <w:b/>
          <w:sz w:val="28"/>
          <w:szCs w:val="28"/>
        </w:rPr>
        <w:t xml:space="preserve">Frequently Asked Questions </w:t>
      </w:r>
    </w:p>
    <w:p w14:paraId="5F0C5EB5" w14:textId="3E062F72" w:rsidR="0081038C" w:rsidRDefault="00B4798D" w:rsidP="001B3454">
      <w:pPr>
        <w:jc w:val="both"/>
        <w:rPr>
          <w:rFonts w:cstheme="minorHAnsi"/>
        </w:rPr>
      </w:pPr>
      <w:r w:rsidRPr="001B3454">
        <w:rPr>
          <w:rFonts w:cstheme="minorHAnsi"/>
        </w:rPr>
        <w:t xml:space="preserve">The </w:t>
      </w:r>
      <w:r w:rsidR="00093160">
        <w:rPr>
          <w:rFonts w:cstheme="minorHAnsi"/>
        </w:rPr>
        <w:t>o</w:t>
      </w:r>
      <w:r w:rsidR="00093160" w:rsidRPr="00093160">
        <w:rPr>
          <w:rFonts w:cstheme="minorHAnsi"/>
        </w:rPr>
        <w:t xml:space="preserve">rganizational session of the Ad hoc open-ended working group, established by General Assembly resolution 72/277 of 10 May 2018 </w:t>
      </w:r>
      <w:r w:rsidRPr="001B3454">
        <w:rPr>
          <w:rFonts w:cstheme="minorHAnsi"/>
        </w:rPr>
        <w:t>will be held at UNHQ in New York from </w:t>
      </w:r>
      <w:r w:rsidR="00093160">
        <w:rPr>
          <w:rFonts w:cstheme="minorHAnsi"/>
        </w:rPr>
        <w:t>5</w:t>
      </w:r>
      <w:r w:rsidRPr="001B3454">
        <w:rPr>
          <w:rFonts w:cstheme="minorHAnsi"/>
        </w:rPr>
        <w:t> to </w:t>
      </w:r>
      <w:r w:rsidR="00093160">
        <w:rPr>
          <w:rFonts w:cstheme="minorHAnsi"/>
        </w:rPr>
        <w:t>7 September 2018</w:t>
      </w:r>
      <w:r w:rsidR="003658F8" w:rsidRPr="003658F8">
        <w:rPr>
          <w:rFonts w:cstheme="minorHAnsi"/>
        </w:rPr>
        <w:t xml:space="preserve"> </w:t>
      </w:r>
      <w:r w:rsidR="003658F8" w:rsidRPr="005D29F3">
        <w:rPr>
          <w:rFonts w:cstheme="minorHAnsi"/>
        </w:rPr>
        <w:t>to examine matters related to the organization of the work of the ad hoc open</w:t>
      </w:r>
      <w:r w:rsidR="00215A32">
        <w:rPr>
          <w:rFonts w:cstheme="minorHAnsi"/>
        </w:rPr>
        <w:t>-</w:t>
      </w:r>
      <w:r w:rsidR="003658F8" w:rsidRPr="005D29F3">
        <w:rPr>
          <w:rFonts w:cstheme="minorHAnsi"/>
        </w:rPr>
        <w:t>ended working group, including the duration and number of its substantive sessions</w:t>
      </w:r>
      <w:r w:rsidR="00093160">
        <w:rPr>
          <w:rFonts w:cstheme="minorHAnsi"/>
        </w:rPr>
        <w:t xml:space="preserve">.  </w:t>
      </w:r>
      <w:bookmarkStart w:id="1" w:name="_GoBack"/>
      <w:bookmarkEnd w:id="1"/>
      <w:r w:rsidR="00AE1899">
        <w:rPr>
          <w:rFonts w:cstheme="minorHAnsi"/>
        </w:rPr>
        <w:t xml:space="preserve">  </w:t>
      </w:r>
    </w:p>
    <w:p w14:paraId="6FF7652F" w14:textId="43CB475D" w:rsidR="0081038C" w:rsidRDefault="0081038C" w:rsidP="0081038C">
      <w:pPr>
        <w:rPr>
          <w:rFonts w:cstheme="minorHAnsi"/>
        </w:rPr>
      </w:pPr>
      <w:r>
        <w:rPr>
          <w:rFonts w:cstheme="minorHAnsi"/>
        </w:rPr>
        <w:t xml:space="preserve">This document, provides information answering the following questions: </w:t>
      </w:r>
    </w:p>
    <w:p w14:paraId="4C3A15FE" w14:textId="2C55CE83" w:rsidR="00AE1899" w:rsidRDefault="00AE1899" w:rsidP="00AE1899">
      <w:pPr>
        <w:pStyle w:val="ListParagraph"/>
        <w:numPr>
          <w:ilvl w:val="0"/>
          <w:numId w:val="25"/>
        </w:numPr>
        <w:rPr>
          <w:rFonts w:cstheme="minorHAnsi"/>
        </w:rPr>
      </w:pPr>
      <w:r>
        <w:rPr>
          <w:rFonts w:cstheme="minorHAnsi"/>
        </w:rPr>
        <w:t xml:space="preserve">What is the </w:t>
      </w:r>
      <w:r w:rsidRPr="00AE1899">
        <w:rPr>
          <w:rFonts w:cstheme="minorHAnsi"/>
        </w:rPr>
        <w:t>Ad hoc open-ended working group</w:t>
      </w:r>
      <w:r>
        <w:rPr>
          <w:rFonts w:cstheme="minorHAnsi"/>
        </w:rPr>
        <w:t xml:space="preserve"> (“Working Group”)</w:t>
      </w:r>
      <w:r w:rsidRPr="00AE1899">
        <w:rPr>
          <w:rFonts w:cstheme="minorHAnsi"/>
        </w:rPr>
        <w:t>, established by General Assembly resolution 72/277 of 10 May 2018</w:t>
      </w:r>
      <w:r>
        <w:rPr>
          <w:rFonts w:cstheme="minorHAnsi"/>
        </w:rPr>
        <w:t xml:space="preserve">? </w:t>
      </w:r>
    </w:p>
    <w:p w14:paraId="745DD0E4" w14:textId="323E23F9" w:rsidR="0081038C" w:rsidRDefault="0081038C" w:rsidP="0081038C">
      <w:pPr>
        <w:pStyle w:val="ListParagraph"/>
        <w:numPr>
          <w:ilvl w:val="0"/>
          <w:numId w:val="25"/>
        </w:numPr>
        <w:rPr>
          <w:rFonts w:cstheme="minorHAnsi"/>
        </w:rPr>
      </w:pPr>
      <w:r>
        <w:rPr>
          <w:rFonts w:cstheme="minorHAnsi"/>
        </w:rPr>
        <w:t xml:space="preserve">How can I participate </w:t>
      </w:r>
      <w:r w:rsidR="00AE1899">
        <w:rPr>
          <w:rFonts w:cstheme="minorHAnsi"/>
        </w:rPr>
        <w:t>in the Working Group</w:t>
      </w:r>
      <w:r>
        <w:rPr>
          <w:rFonts w:cstheme="minorHAnsi"/>
        </w:rPr>
        <w:t xml:space="preserve">? </w:t>
      </w:r>
    </w:p>
    <w:p w14:paraId="06B9FCCA" w14:textId="29B5ED67" w:rsidR="00E828E0" w:rsidRPr="002C276F" w:rsidRDefault="00AE1899" w:rsidP="002C276F">
      <w:pPr>
        <w:pStyle w:val="ListParagraph"/>
        <w:numPr>
          <w:ilvl w:val="0"/>
          <w:numId w:val="25"/>
        </w:numPr>
        <w:rPr>
          <w:rFonts w:cstheme="minorHAnsi"/>
        </w:rPr>
      </w:pPr>
      <w:r>
        <w:rPr>
          <w:rFonts w:cstheme="minorHAnsi"/>
        </w:rPr>
        <w:t xml:space="preserve">Is </w:t>
      </w:r>
      <w:r w:rsidR="0081038C">
        <w:rPr>
          <w:rFonts w:cstheme="minorHAnsi"/>
        </w:rPr>
        <w:t xml:space="preserve">funding </w:t>
      </w:r>
      <w:r w:rsidR="004A7BF9">
        <w:rPr>
          <w:rFonts w:cstheme="minorHAnsi"/>
        </w:rPr>
        <w:t>available to</w:t>
      </w:r>
      <w:r>
        <w:rPr>
          <w:rFonts w:cstheme="minorHAnsi"/>
        </w:rPr>
        <w:t xml:space="preserve"> attend this event? </w:t>
      </w:r>
    </w:p>
    <w:p w14:paraId="390812F0" w14:textId="54E38E59" w:rsidR="0081038C" w:rsidRDefault="0081038C" w:rsidP="00E828E0">
      <w:pPr>
        <w:rPr>
          <w:rFonts w:cstheme="minorHAnsi"/>
        </w:rPr>
      </w:pPr>
    </w:p>
    <w:p w14:paraId="38D8C353" w14:textId="55FE7FE0" w:rsidR="00522421" w:rsidRPr="00522421" w:rsidRDefault="00522421" w:rsidP="00522421">
      <w:pPr>
        <w:pStyle w:val="ListParagraph"/>
        <w:numPr>
          <w:ilvl w:val="0"/>
          <w:numId w:val="27"/>
        </w:numPr>
        <w:rPr>
          <w:rFonts w:cstheme="minorHAnsi"/>
          <w:b/>
          <w:sz w:val="24"/>
          <w:szCs w:val="24"/>
        </w:rPr>
      </w:pPr>
      <w:r w:rsidRPr="00522421">
        <w:rPr>
          <w:rFonts w:cstheme="minorHAnsi"/>
          <w:b/>
          <w:sz w:val="24"/>
          <w:szCs w:val="24"/>
        </w:rPr>
        <w:t>What is the Ad hoc open-ended working group (“Working Group”), established by General Assembly resolution 72/277 of 10 May 2018?</w:t>
      </w:r>
    </w:p>
    <w:p w14:paraId="3AA2A1B6" w14:textId="77777777" w:rsidR="005D29F3" w:rsidRDefault="00522421" w:rsidP="00E828E0">
      <w:pPr>
        <w:rPr>
          <w:rFonts w:cstheme="minorHAnsi"/>
        </w:rPr>
      </w:pPr>
      <w:r>
        <w:rPr>
          <w:rFonts w:cstheme="minorHAnsi"/>
        </w:rPr>
        <w:t xml:space="preserve">By General Assembly resolution 72/277 the General Assembly requested </w:t>
      </w:r>
      <w:r w:rsidRPr="00522421">
        <w:rPr>
          <w:rFonts w:cstheme="minorHAnsi"/>
        </w:rPr>
        <w:t>the Secretary-General to submit to the General Assembly at its seventy-third session in 2018 a technical and evidence-based report that identifies and assesses possible gaps in international environmental law and environment-related instruments with a view to strengthening their implementation</w:t>
      </w:r>
      <w:r w:rsidR="005D29F3">
        <w:rPr>
          <w:rFonts w:cstheme="minorHAnsi"/>
        </w:rPr>
        <w:t xml:space="preserve">.  </w:t>
      </w:r>
    </w:p>
    <w:p w14:paraId="124B90CA" w14:textId="1099C839" w:rsidR="00522421" w:rsidRDefault="005D29F3" w:rsidP="00E828E0">
      <w:pPr>
        <w:rPr>
          <w:rFonts w:cstheme="minorHAnsi"/>
        </w:rPr>
      </w:pPr>
      <w:r>
        <w:rPr>
          <w:rFonts w:cstheme="minorHAnsi"/>
        </w:rPr>
        <w:t xml:space="preserve">The General Assembly also decided </w:t>
      </w:r>
      <w:r w:rsidR="00522421" w:rsidRPr="00522421">
        <w:rPr>
          <w:rFonts w:cstheme="minorHAnsi"/>
        </w:rPr>
        <w:t>to establish an ad hoc open-ended working group, under the auspices of the General Assembly, to consider the report and discuss options to address possible gaps in international environmental law and environment-related instruments, as appropriate, and, if deemed necessary, the scope, parameters and feasibility of an international instrument, with a view to making recommendations, which may include the convening of an intergovernmental conference to adopt an international instrument, to the Assembly during the first half of 2019</w:t>
      </w:r>
      <w:r>
        <w:rPr>
          <w:rFonts w:cstheme="minorHAnsi"/>
        </w:rPr>
        <w:t xml:space="preserve">.  </w:t>
      </w:r>
    </w:p>
    <w:p w14:paraId="650E3649" w14:textId="76A2E834" w:rsidR="005D29F3" w:rsidRDefault="005D29F3" w:rsidP="00E828E0">
      <w:pPr>
        <w:rPr>
          <w:rFonts w:cstheme="minorHAnsi"/>
        </w:rPr>
      </w:pPr>
      <w:r>
        <w:rPr>
          <w:rFonts w:cstheme="minorHAnsi"/>
        </w:rPr>
        <w:t xml:space="preserve">The General Assembly also decided </w:t>
      </w:r>
      <w:r w:rsidRPr="005D29F3">
        <w:rPr>
          <w:rFonts w:cstheme="minorHAnsi"/>
        </w:rPr>
        <w:t xml:space="preserve">that the ad hoc open-ended working group </w:t>
      </w:r>
      <w:r>
        <w:rPr>
          <w:rFonts w:cstheme="minorHAnsi"/>
        </w:rPr>
        <w:t xml:space="preserve">would </w:t>
      </w:r>
      <w:r w:rsidRPr="005D29F3">
        <w:rPr>
          <w:rFonts w:cstheme="minorHAnsi"/>
        </w:rPr>
        <w:t xml:space="preserve">hold </w:t>
      </w:r>
      <w:r>
        <w:rPr>
          <w:rFonts w:cstheme="minorHAnsi"/>
        </w:rPr>
        <w:t>a</w:t>
      </w:r>
      <w:r w:rsidRPr="005D29F3">
        <w:rPr>
          <w:rFonts w:cstheme="minorHAnsi"/>
        </w:rPr>
        <w:t xml:space="preserve">n organizational session, </w:t>
      </w:r>
      <w:r>
        <w:rPr>
          <w:rFonts w:cstheme="minorHAnsi"/>
        </w:rPr>
        <w:t xml:space="preserve">for three working </w:t>
      </w:r>
      <w:r w:rsidRPr="005D29F3">
        <w:rPr>
          <w:rFonts w:cstheme="minorHAnsi"/>
        </w:rPr>
        <w:t xml:space="preserve">days, by the end of the seventy-second session of the General Assembly, in New York, </w:t>
      </w:r>
      <w:proofErr w:type="gramStart"/>
      <w:r w:rsidRPr="005D29F3">
        <w:rPr>
          <w:rFonts w:cstheme="minorHAnsi"/>
        </w:rPr>
        <w:t>in</w:t>
      </w:r>
      <w:r>
        <w:rPr>
          <w:rFonts w:cstheme="minorHAnsi"/>
        </w:rPr>
        <w:t xml:space="preserve"> </w:t>
      </w:r>
      <w:r w:rsidRPr="005D29F3">
        <w:rPr>
          <w:rFonts w:cstheme="minorHAnsi"/>
        </w:rPr>
        <w:t>order to</w:t>
      </w:r>
      <w:proofErr w:type="gramEnd"/>
      <w:r w:rsidRPr="005D29F3">
        <w:rPr>
          <w:rFonts w:cstheme="minorHAnsi"/>
        </w:rPr>
        <w:t xml:space="preserve"> examine matters related to the organization of the work of the ad hoc open</w:t>
      </w:r>
      <w:r w:rsidR="00C55364">
        <w:rPr>
          <w:rFonts w:cstheme="minorHAnsi"/>
        </w:rPr>
        <w:t>-</w:t>
      </w:r>
      <w:r w:rsidRPr="005D29F3">
        <w:rPr>
          <w:rFonts w:cstheme="minorHAnsi"/>
        </w:rPr>
        <w:t>ended working group, including the duration and number of its substantive sessions</w:t>
      </w:r>
      <w:r>
        <w:rPr>
          <w:rFonts w:cstheme="minorHAnsi"/>
        </w:rPr>
        <w:t xml:space="preserve">.  </w:t>
      </w:r>
    </w:p>
    <w:p w14:paraId="7F60C39A" w14:textId="1B8A9A0B" w:rsidR="00522421" w:rsidRDefault="005D29F3" w:rsidP="00E828E0">
      <w:pPr>
        <w:rPr>
          <w:rFonts w:cstheme="minorHAnsi"/>
        </w:rPr>
      </w:pPr>
      <w:r>
        <w:rPr>
          <w:rFonts w:cstheme="minorHAnsi"/>
        </w:rPr>
        <w:t>The General Assembly also decided that the s</w:t>
      </w:r>
      <w:r w:rsidRPr="005D29F3">
        <w:rPr>
          <w:rFonts w:cstheme="minorHAnsi"/>
        </w:rPr>
        <w:t>ubstantive sessions</w:t>
      </w:r>
      <w:r>
        <w:rPr>
          <w:rFonts w:cstheme="minorHAnsi"/>
        </w:rPr>
        <w:t xml:space="preserve"> would </w:t>
      </w:r>
      <w:r w:rsidRPr="005D29F3">
        <w:rPr>
          <w:rFonts w:cstheme="minorHAnsi"/>
        </w:rPr>
        <w:t>be held in Nairobi</w:t>
      </w:r>
      <w:r>
        <w:rPr>
          <w:rFonts w:cstheme="minorHAnsi"/>
        </w:rPr>
        <w:t xml:space="preserve">.  </w:t>
      </w:r>
    </w:p>
    <w:p w14:paraId="44CE7369" w14:textId="02047B4A" w:rsidR="00522421" w:rsidRPr="00E828E0" w:rsidRDefault="005D29F3" w:rsidP="00E828E0">
      <w:pPr>
        <w:rPr>
          <w:rFonts w:cstheme="minorHAnsi"/>
        </w:rPr>
      </w:pPr>
      <w:r w:rsidRPr="005D29F3">
        <w:rPr>
          <w:rFonts w:cstheme="minorHAnsi"/>
        </w:rPr>
        <w:t xml:space="preserve">The Co-Chairs, after consultations with Member States have decided that the organizational session will be held at United Nations Headquarters between </w:t>
      </w:r>
      <w:r w:rsidRPr="005D29F3">
        <w:rPr>
          <w:rFonts w:cstheme="minorHAnsi"/>
          <w:b/>
        </w:rPr>
        <w:t>5-7 September 2018</w:t>
      </w:r>
      <w:r w:rsidRPr="005D29F3">
        <w:rPr>
          <w:rFonts w:cstheme="minorHAnsi"/>
        </w:rPr>
        <w:t xml:space="preserve">.   </w:t>
      </w:r>
    </w:p>
    <w:p w14:paraId="40BEAC87" w14:textId="4449BCF5" w:rsidR="00D52D9A" w:rsidRPr="00135AF4" w:rsidRDefault="00135AF4" w:rsidP="00135AF4">
      <w:pPr>
        <w:ind w:left="360"/>
        <w:rPr>
          <w:rFonts w:cstheme="minorHAnsi"/>
          <w:b/>
          <w:sz w:val="26"/>
          <w:szCs w:val="26"/>
        </w:rPr>
      </w:pPr>
      <w:r>
        <w:rPr>
          <w:rFonts w:cstheme="minorHAnsi"/>
          <w:b/>
          <w:sz w:val="26"/>
          <w:szCs w:val="26"/>
        </w:rPr>
        <w:t>II</w:t>
      </w:r>
      <w:r>
        <w:rPr>
          <w:rFonts w:cstheme="minorHAnsi"/>
          <w:b/>
          <w:sz w:val="26"/>
          <w:szCs w:val="26"/>
        </w:rPr>
        <w:tab/>
      </w:r>
      <w:r w:rsidR="009B3229" w:rsidRPr="00135AF4">
        <w:rPr>
          <w:rFonts w:cstheme="minorHAnsi"/>
          <w:b/>
          <w:sz w:val="26"/>
          <w:szCs w:val="26"/>
        </w:rPr>
        <w:t xml:space="preserve">How can I participate </w:t>
      </w:r>
      <w:r w:rsidR="004621CA">
        <w:rPr>
          <w:rFonts w:cstheme="minorHAnsi"/>
          <w:b/>
          <w:sz w:val="26"/>
          <w:szCs w:val="26"/>
        </w:rPr>
        <w:t>in the Working Group</w:t>
      </w:r>
      <w:r w:rsidR="009B3229" w:rsidRPr="00135AF4">
        <w:rPr>
          <w:rFonts w:cstheme="minorHAnsi"/>
          <w:b/>
          <w:sz w:val="26"/>
          <w:szCs w:val="26"/>
        </w:rPr>
        <w:t xml:space="preserve">? </w:t>
      </w:r>
    </w:p>
    <w:p w14:paraId="1140FA06" w14:textId="1182007E" w:rsidR="004621CA" w:rsidRDefault="004621CA" w:rsidP="001B3454">
      <w:pPr>
        <w:jc w:val="both"/>
        <w:rPr>
          <w:rFonts w:cstheme="minorHAnsi"/>
          <w:color w:val="333333"/>
          <w:shd w:val="clear" w:color="auto" w:fill="FFFFFF"/>
        </w:rPr>
      </w:pPr>
      <w:r>
        <w:rPr>
          <w:rFonts w:cstheme="minorHAnsi"/>
          <w:color w:val="333333"/>
          <w:shd w:val="clear" w:color="auto" w:fill="FFFFFF"/>
        </w:rPr>
        <w:t xml:space="preserve">The General Assembly decided that </w:t>
      </w:r>
      <w:r w:rsidRPr="004621CA">
        <w:rPr>
          <w:rFonts w:cstheme="minorHAnsi"/>
          <w:color w:val="333333"/>
          <w:shd w:val="clear" w:color="auto" w:fill="FFFFFF"/>
        </w:rPr>
        <w:t xml:space="preserve">attendance </w:t>
      </w:r>
      <w:r w:rsidR="000658B7">
        <w:rPr>
          <w:rFonts w:cstheme="minorHAnsi"/>
          <w:color w:val="333333"/>
          <w:shd w:val="clear" w:color="auto" w:fill="FFFFFF"/>
        </w:rPr>
        <w:t xml:space="preserve">as observers </w:t>
      </w:r>
      <w:r w:rsidRPr="004621CA">
        <w:rPr>
          <w:rFonts w:cstheme="minorHAnsi"/>
          <w:color w:val="333333"/>
          <w:shd w:val="clear" w:color="auto" w:fill="FFFFFF"/>
        </w:rPr>
        <w:t xml:space="preserve">at the sessions of the ad hoc open-ended working group will be open to relevant non-governmental organizations in consultative status with the Economic and Social Council in accordance with the provisions of Council resolution 1996/31 of 25 July 1996, as well as to those that were accredited to relevant conferences and summits on the understanding that participation means attending formal meetings, unless otherwise decided by the working group in specific situations, receiving copies of the official documents, making available </w:t>
      </w:r>
      <w:r w:rsidRPr="004621CA">
        <w:rPr>
          <w:rFonts w:cstheme="minorHAnsi"/>
          <w:color w:val="333333"/>
          <w:shd w:val="clear" w:color="auto" w:fill="FFFFFF"/>
        </w:rPr>
        <w:lastRenderedPageBreak/>
        <w:t xml:space="preserve">their materials to delegates and addressing the meetings, through a limited number of their </w:t>
      </w:r>
      <w:r>
        <w:rPr>
          <w:rFonts w:cstheme="minorHAnsi"/>
          <w:color w:val="333333"/>
          <w:shd w:val="clear" w:color="auto" w:fill="FFFFFF"/>
        </w:rPr>
        <w:t xml:space="preserve">representatives, as appropriate. </w:t>
      </w:r>
    </w:p>
    <w:p w14:paraId="64E89F31" w14:textId="0C9D64B1" w:rsidR="004621CA" w:rsidRDefault="004621CA" w:rsidP="001B3454">
      <w:pPr>
        <w:jc w:val="both"/>
        <w:rPr>
          <w:rFonts w:cstheme="minorHAnsi"/>
          <w:color w:val="333333"/>
          <w:shd w:val="clear" w:color="auto" w:fill="FFFFFF"/>
        </w:rPr>
      </w:pPr>
      <w:r>
        <w:rPr>
          <w:rFonts w:cstheme="minorHAnsi"/>
          <w:color w:val="333333"/>
          <w:shd w:val="clear" w:color="auto" w:fill="FFFFFF"/>
        </w:rPr>
        <w:t xml:space="preserve">In referring to </w:t>
      </w:r>
      <w:r w:rsidRPr="004621CA">
        <w:rPr>
          <w:rFonts w:cstheme="minorHAnsi"/>
          <w:color w:val="333333"/>
          <w:shd w:val="clear" w:color="auto" w:fill="FFFFFF"/>
        </w:rPr>
        <w:t>relevant conferences and summits</w:t>
      </w:r>
      <w:r>
        <w:rPr>
          <w:rFonts w:cstheme="minorHAnsi"/>
          <w:color w:val="333333"/>
          <w:shd w:val="clear" w:color="auto" w:fill="FFFFFF"/>
        </w:rPr>
        <w:t xml:space="preserve"> the General Assembly made reference to </w:t>
      </w:r>
      <w:r w:rsidRPr="004621CA">
        <w:rPr>
          <w:rFonts w:cstheme="minorHAnsi"/>
          <w:color w:val="333333"/>
          <w:shd w:val="clear" w:color="auto" w:fill="FFFFFF"/>
        </w:rPr>
        <w:t xml:space="preserve">the non-governmental organizations that were accredited to the following relevant conferences and summits: </w:t>
      </w:r>
      <w:proofErr w:type="gramStart"/>
      <w:r w:rsidRPr="004621CA">
        <w:rPr>
          <w:rFonts w:cstheme="minorHAnsi"/>
          <w:color w:val="333333"/>
          <w:shd w:val="clear" w:color="auto" w:fill="FFFFFF"/>
        </w:rPr>
        <w:t>the</w:t>
      </w:r>
      <w:proofErr w:type="gramEnd"/>
      <w:r w:rsidRPr="004621CA">
        <w:rPr>
          <w:rFonts w:cstheme="minorHAnsi"/>
          <w:color w:val="333333"/>
          <w:shd w:val="clear" w:color="auto" w:fill="FFFFFF"/>
        </w:rPr>
        <w:t xml:space="preserve"> United Nations Conference on Environment and Development, the World Summit on Sustainable Development, the United Nations Conference on Sustainable Development and the United Nations summit for the adoption of the post-2015 development agenda.</w:t>
      </w:r>
    </w:p>
    <w:p w14:paraId="7730FB88" w14:textId="4359A030" w:rsidR="00B93239" w:rsidRDefault="00015CED" w:rsidP="001B3454">
      <w:pPr>
        <w:jc w:val="both"/>
        <w:rPr>
          <w:rFonts w:cstheme="minorHAnsi"/>
          <w:color w:val="333333"/>
          <w:shd w:val="clear" w:color="auto" w:fill="FFFFFF"/>
        </w:rPr>
      </w:pPr>
      <w:r>
        <w:rPr>
          <w:rFonts w:cstheme="minorHAnsi"/>
          <w:color w:val="333333"/>
          <w:shd w:val="clear" w:color="auto" w:fill="FFFFFF"/>
        </w:rPr>
        <w:t xml:space="preserve">Pre-registration for the organizational session </w:t>
      </w:r>
      <w:r w:rsidR="00B93239">
        <w:rPr>
          <w:rFonts w:cstheme="minorHAnsi"/>
          <w:color w:val="333333"/>
          <w:shd w:val="clear" w:color="auto" w:fill="FFFFFF"/>
        </w:rPr>
        <w:t>of</w:t>
      </w:r>
      <w:r w:rsidR="00722E7D" w:rsidRPr="00C96B59">
        <w:rPr>
          <w:rFonts w:cstheme="minorHAnsi"/>
          <w:color w:val="333333"/>
          <w:shd w:val="clear" w:color="auto" w:fill="FFFFFF"/>
        </w:rPr>
        <w:t xml:space="preserve"> the </w:t>
      </w:r>
      <w:r w:rsidR="000D739C">
        <w:rPr>
          <w:rFonts w:cstheme="minorHAnsi"/>
          <w:color w:val="333333"/>
          <w:shd w:val="clear" w:color="auto" w:fill="FFFFFF"/>
        </w:rPr>
        <w:t>Working Group</w:t>
      </w:r>
      <w:r w:rsidR="00722E7D" w:rsidRPr="00C96B59">
        <w:rPr>
          <w:rFonts w:cstheme="minorHAnsi"/>
          <w:color w:val="333333"/>
          <w:shd w:val="clear" w:color="auto" w:fill="FFFFFF"/>
        </w:rPr>
        <w:t xml:space="preserve"> </w:t>
      </w:r>
      <w:r w:rsidR="00B93239">
        <w:rPr>
          <w:rFonts w:cstheme="minorHAnsi"/>
          <w:color w:val="333333"/>
          <w:shd w:val="clear" w:color="auto" w:fill="FFFFFF"/>
        </w:rPr>
        <w:t xml:space="preserve">is required for eligible </w:t>
      </w:r>
      <w:r w:rsidR="000658B7">
        <w:rPr>
          <w:rFonts w:cstheme="minorHAnsi"/>
          <w:color w:val="333333"/>
          <w:shd w:val="clear" w:color="auto" w:fill="FFFFFF"/>
        </w:rPr>
        <w:t>representatives</w:t>
      </w:r>
      <w:r w:rsidR="00B93239">
        <w:rPr>
          <w:rFonts w:cstheme="minorHAnsi"/>
          <w:color w:val="333333"/>
          <w:shd w:val="clear" w:color="auto" w:fill="FFFFFF"/>
        </w:rPr>
        <w:t xml:space="preserve"> of NGOs as identified in resolution 72/277 belonging to the following categories: </w:t>
      </w:r>
    </w:p>
    <w:p w14:paraId="4CA686A7" w14:textId="6DA41EC8" w:rsidR="00015CED" w:rsidRPr="00B93239" w:rsidRDefault="00B93239" w:rsidP="00B93239">
      <w:pPr>
        <w:pStyle w:val="ListParagraph"/>
        <w:numPr>
          <w:ilvl w:val="0"/>
          <w:numId w:val="28"/>
        </w:numPr>
        <w:jc w:val="both"/>
        <w:rPr>
          <w:rFonts w:cstheme="minorHAnsi"/>
          <w:color w:val="333333"/>
          <w:shd w:val="clear" w:color="auto" w:fill="FFFFFF"/>
        </w:rPr>
      </w:pPr>
      <w:r>
        <w:rPr>
          <w:rFonts w:cstheme="minorHAnsi"/>
          <w:color w:val="333333"/>
          <w:shd w:val="clear" w:color="auto" w:fill="FFFFFF"/>
        </w:rPr>
        <w:t>N</w:t>
      </w:r>
      <w:r w:rsidR="00722E7D" w:rsidRPr="00B93239">
        <w:rPr>
          <w:rFonts w:cstheme="minorHAnsi"/>
          <w:color w:val="333333"/>
          <w:shd w:val="clear" w:color="auto" w:fill="FFFFFF"/>
        </w:rPr>
        <w:t xml:space="preserve">on-governmental organizations, in </w:t>
      </w:r>
      <w:r>
        <w:rPr>
          <w:rFonts w:cstheme="minorHAnsi"/>
          <w:color w:val="333333"/>
          <w:shd w:val="clear" w:color="auto" w:fill="FFFFFF"/>
        </w:rPr>
        <w:t xml:space="preserve">consultative status with </w:t>
      </w:r>
      <w:r w:rsidR="00722E7D" w:rsidRPr="00B93239">
        <w:rPr>
          <w:rFonts w:cstheme="minorHAnsi"/>
          <w:color w:val="333333"/>
          <w:shd w:val="clear" w:color="auto" w:fill="FFFFFF"/>
        </w:rPr>
        <w:t xml:space="preserve">ECOSOC </w:t>
      </w:r>
      <w:r>
        <w:rPr>
          <w:rFonts w:cstheme="minorHAnsi"/>
          <w:color w:val="333333"/>
          <w:shd w:val="clear" w:color="auto" w:fill="FFFFFF"/>
        </w:rPr>
        <w:t xml:space="preserve">according to </w:t>
      </w:r>
      <w:r w:rsidR="00722E7D" w:rsidRPr="00B93239">
        <w:rPr>
          <w:rFonts w:cstheme="minorHAnsi"/>
          <w:color w:val="333333"/>
          <w:shd w:val="clear" w:color="auto" w:fill="FFFFFF"/>
        </w:rPr>
        <w:t>resolution 1996/31</w:t>
      </w:r>
    </w:p>
    <w:p w14:paraId="2A4C1491" w14:textId="77777777" w:rsidR="00015CED" w:rsidRPr="00015CED" w:rsidRDefault="00015CED" w:rsidP="00015CED">
      <w:pPr>
        <w:pStyle w:val="ListParagraph"/>
        <w:numPr>
          <w:ilvl w:val="0"/>
          <w:numId w:val="28"/>
        </w:numPr>
        <w:jc w:val="both"/>
        <w:rPr>
          <w:rFonts w:cstheme="minorHAnsi"/>
          <w:color w:val="333333"/>
          <w:shd w:val="clear" w:color="auto" w:fill="FFFFFF"/>
        </w:rPr>
      </w:pPr>
      <w:r w:rsidRPr="00015CED">
        <w:rPr>
          <w:rFonts w:cstheme="minorHAnsi"/>
          <w:color w:val="333333"/>
          <w:shd w:val="clear" w:color="auto" w:fill="FFFFFF"/>
        </w:rPr>
        <w:t>The United Nations Conference on Environment and Development</w:t>
      </w:r>
    </w:p>
    <w:p w14:paraId="6B2836D1" w14:textId="77777777" w:rsidR="00015CED" w:rsidRDefault="00015CED" w:rsidP="00015CED">
      <w:pPr>
        <w:pStyle w:val="ListParagraph"/>
        <w:numPr>
          <w:ilvl w:val="0"/>
          <w:numId w:val="28"/>
        </w:numPr>
        <w:jc w:val="both"/>
        <w:rPr>
          <w:rFonts w:cstheme="minorHAnsi"/>
          <w:color w:val="333333"/>
          <w:shd w:val="clear" w:color="auto" w:fill="FFFFFF"/>
        </w:rPr>
      </w:pPr>
      <w:r w:rsidRPr="00015CED">
        <w:rPr>
          <w:rFonts w:cstheme="minorHAnsi"/>
          <w:color w:val="333333"/>
          <w:shd w:val="clear" w:color="auto" w:fill="FFFFFF"/>
        </w:rPr>
        <w:t>The World Summit on Sustainable Development,</w:t>
      </w:r>
    </w:p>
    <w:p w14:paraId="0BB16857" w14:textId="77777777" w:rsidR="00015CED" w:rsidRDefault="00015CED" w:rsidP="00015CED">
      <w:pPr>
        <w:pStyle w:val="ListParagraph"/>
        <w:numPr>
          <w:ilvl w:val="0"/>
          <w:numId w:val="28"/>
        </w:numPr>
        <w:jc w:val="both"/>
        <w:rPr>
          <w:rFonts w:cstheme="minorHAnsi"/>
          <w:color w:val="333333"/>
          <w:shd w:val="clear" w:color="auto" w:fill="FFFFFF"/>
        </w:rPr>
      </w:pPr>
      <w:r>
        <w:rPr>
          <w:rFonts w:cstheme="minorHAnsi"/>
          <w:color w:val="333333"/>
          <w:shd w:val="clear" w:color="auto" w:fill="FFFFFF"/>
        </w:rPr>
        <w:t>T</w:t>
      </w:r>
      <w:r w:rsidRPr="00015CED">
        <w:rPr>
          <w:rFonts w:cstheme="minorHAnsi"/>
          <w:color w:val="333333"/>
          <w:shd w:val="clear" w:color="auto" w:fill="FFFFFF"/>
        </w:rPr>
        <w:t>he United Nations Conference on Sustainable Development</w:t>
      </w:r>
      <w:r>
        <w:rPr>
          <w:rFonts w:cstheme="minorHAnsi"/>
          <w:color w:val="333333"/>
          <w:shd w:val="clear" w:color="auto" w:fill="FFFFFF"/>
        </w:rPr>
        <w:t>,</w:t>
      </w:r>
      <w:r w:rsidRPr="00015CED">
        <w:rPr>
          <w:rFonts w:cstheme="minorHAnsi"/>
          <w:color w:val="333333"/>
          <w:shd w:val="clear" w:color="auto" w:fill="FFFFFF"/>
        </w:rPr>
        <w:t xml:space="preserve"> and</w:t>
      </w:r>
    </w:p>
    <w:p w14:paraId="4309F7D0" w14:textId="4109D3DF" w:rsidR="00015CED" w:rsidRPr="00015CED" w:rsidRDefault="00015CED" w:rsidP="00015CED">
      <w:pPr>
        <w:pStyle w:val="ListParagraph"/>
        <w:numPr>
          <w:ilvl w:val="0"/>
          <w:numId w:val="28"/>
        </w:numPr>
        <w:jc w:val="both"/>
        <w:rPr>
          <w:rFonts w:cstheme="minorHAnsi"/>
          <w:color w:val="333333"/>
          <w:shd w:val="clear" w:color="auto" w:fill="FFFFFF"/>
        </w:rPr>
      </w:pPr>
      <w:r>
        <w:rPr>
          <w:rFonts w:cstheme="minorHAnsi"/>
          <w:color w:val="333333"/>
          <w:shd w:val="clear" w:color="auto" w:fill="FFFFFF"/>
        </w:rPr>
        <w:t>T</w:t>
      </w:r>
      <w:r w:rsidRPr="00015CED">
        <w:rPr>
          <w:rFonts w:cstheme="minorHAnsi"/>
          <w:color w:val="333333"/>
          <w:shd w:val="clear" w:color="auto" w:fill="FFFFFF"/>
        </w:rPr>
        <w:t>he United Nations summit for the adoption of the post-2015 development agenda.</w:t>
      </w:r>
      <w:r w:rsidR="00ED293E">
        <w:rPr>
          <w:rFonts w:cstheme="minorHAnsi"/>
          <w:color w:val="333333"/>
          <w:shd w:val="clear" w:color="auto" w:fill="FFFFFF"/>
        </w:rPr>
        <w:t xml:space="preserve"> </w:t>
      </w:r>
    </w:p>
    <w:p w14:paraId="4C72E528" w14:textId="5A2C3C5C" w:rsidR="00015CED" w:rsidRDefault="00201304" w:rsidP="001B3454">
      <w:pPr>
        <w:jc w:val="both"/>
        <w:rPr>
          <w:rFonts w:cstheme="minorHAnsi"/>
          <w:color w:val="333333"/>
          <w:shd w:val="clear" w:color="auto" w:fill="FFFFFF"/>
        </w:rPr>
      </w:pPr>
      <w:r>
        <w:rPr>
          <w:rFonts w:cstheme="minorHAnsi"/>
          <w:color w:val="333333"/>
          <w:shd w:val="clear" w:color="auto" w:fill="FFFFFF"/>
        </w:rPr>
        <w:t xml:space="preserve">Procedure for registration is as follows: </w:t>
      </w:r>
    </w:p>
    <w:p w14:paraId="46C94193" w14:textId="77777777" w:rsidR="00C9327C" w:rsidRPr="001B3454" w:rsidRDefault="00C9327C" w:rsidP="00C9327C">
      <w:pPr>
        <w:pStyle w:val="ListParagraph"/>
        <w:numPr>
          <w:ilvl w:val="0"/>
          <w:numId w:val="2"/>
        </w:numPr>
        <w:rPr>
          <w:rFonts w:cstheme="minorHAnsi"/>
        </w:rPr>
      </w:pPr>
      <w:r w:rsidRPr="001B3454">
        <w:rPr>
          <w:rFonts w:cstheme="minorHAnsi"/>
          <w:bCs/>
        </w:rPr>
        <w:t xml:space="preserve">Create an </w:t>
      </w:r>
      <w:proofErr w:type="spellStart"/>
      <w:r w:rsidRPr="001B3454">
        <w:rPr>
          <w:rFonts w:cstheme="minorHAnsi"/>
          <w:bCs/>
        </w:rPr>
        <w:t>Indico</w:t>
      </w:r>
      <w:proofErr w:type="spellEnd"/>
      <w:r w:rsidRPr="001B3454">
        <w:rPr>
          <w:rFonts w:cstheme="minorHAnsi"/>
          <w:bCs/>
        </w:rPr>
        <w:t xml:space="preserve"> account at </w:t>
      </w:r>
      <w:hyperlink r:id="rId8" w:tgtFrame="_blank" w:history="1">
        <w:r w:rsidRPr="001B3454">
          <w:rPr>
            <w:rStyle w:val="Hyperlink"/>
            <w:rFonts w:cstheme="minorHAnsi"/>
            <w:bCs/>
            <w:u w:val="none"/>
          </w:rPr>
          <w:t>https://reg.unog.ch/</w:t>
        </w:r>
      </w:hyperlink>
      <w:r w:rsidRPr="001B3454">
        <w:rPr>
          <w:rFonts w:cstheme="minorHAnsi"/>
          <w:bCs/>
        </w:rPr>
        <w:t> </w:t>
      </w:r>
    </w:p>
    <w:p w14:paraId="7D848B52" w14:textId="5F71A3B9" w:rsidR="00C9327C" w:rsidRPr="001B3454" w:rsidRDefault="00C9327C" w:rsidP="00C9327C">
      <w:pPr>
        <w:pStyle w:val="ListParagraph"/>
        <w:rPr>
          <w:rFonts w:cstheme="minorHAnsi"/>
        </w:rPr>
      </w:pPr>
      <w:r w:rsidRPr="001B3454">
        <w:rPr>
          <w:rFonts w:cstheme="minorHAnsi"/>
        </w:rPr>
        <w:t xml:space="preserve">Please see the quick guide for instructions on how to create your account in </w:t>
      </w:r>
      <w:proofErr w:type="spellStart"/>
      <w:r w:rsidRPr="001B3454">
        <w:rPr>
          <w:rFonts w:cstheme="minorHAnsi"/>
        </w:rPr>
        <w:t>Indico</w:t>
      </w:r>
      <w:proofErr w:type="spellEnd"/>
      <w:r w:rsidR="00D52D9A" w:rsidRPr="001B3454">
        <w:rPr>
          <w:rFonts w:cstheme="minorHAnsi"/>
        </w:rPr>
        <w:t xml:space="preserve"> </w:t>
      </w:r>
      <w:hyperlink r:id="rId9" w:history="1">
        <w:r w:rsidR="00D52D9A" w:rsidRPr="001B3454">
          <w:rPr>
            <w:rStyle w:val="Hyperlink"/>
            <w:rFonts w:cstheme="minorHAnsi"/>
          </w:rPr>
          <w:t>here</w:t>
        </w:r>
      </w:hyperlink>
      <w:r w:rsidRPr="001B3454">
        <w:rPr>
          <w:rFonts w:cstheme="minorHAnsi"/>
        </w:rPr>
        <w:t>.</w:t>
      </w:r>
    </w:p>
    <w:p w14:paraId="36F8B7DC" w14:textId="2C47D60C" w:rsidR="00D52D9A" w:rsidRPr="001B3454" w:rsidRDefault="00D52D9A" w:rsidP="00C9327C">
      <w:pPr>
        <w:pStyle w:val="ListParagraph"/>
        <w:rPr>
          <w:rFonts w:cstheme="minorHAnsi"/>
        </w:rPr>
      </w:pPr>
      <w:r w:rsidRPr="001B3454">
        <w:rPr>
          <w:rFonts w:cstheme="minorHAnsi"/>
        </w:rPr>
        <w:t xml:space="preserve">DESA recently hosted a webinar on INDICO. The recording can be viewed </w:t>
      </w:r>
      <w:hyperlink r:id="rId10" w:history="1">
        <w:r w:rsidRPr="001B3454">
          <w:rPr>
            <w:rStyle w:val="Hyperlink"/>
            <w:rFonts w:cstheme="minorHAnsi"/>
          </w:rPr>
          <w:t>here</w:t>
        </w:r>
      </w:hyperlink>
      <w:r w:rsidRPr="001B3454">
        <w:rPr>
          <w:rFonts w:cstheme="minorHAnsi"/>
        </w:rPr>
        <w:t>. </w:t>
      </w:r>
      <w:r w:rsidRPr="001B3454">
        <w:rPr>
          <w:rFonts w:cstheme="minorHAnsi"/>
        </w:rPr>
        <w:br/>
        <w:t xml:space="preserve">The PDF of the slide presentation can be found </w:t>
      </w:r>
      <w:hyperlink r:id="rId11" w:history="1">
        <w:r w:rsidRPr="001B3454">
          <w:rPr>
            <w:rStyle w:val="Hyperlink"/>
            <w:rFonts w:cstheme="minorHAnsi"/>
          </w:rPr>
          <w:t>here</w:t>
        </w:r>
      </w:hyperlink>
      <w:r w:rsidRPr="001B3454">
        <w:rPr>
          <w:rFonts w:cstheme="minorHAnsi"/>
        </w:rPr>
        <w:t>.</w:t>
      </w:r>
    </w:p>
    <w:p w14:paraId="5AEB4BEC" w14:textId="41F1245F" w:rsidR="008E5569" w:rsidRPr="001B3454" w:rsidRDefault="008E5569" w:rsidP="00C9327C">
      <w:pPr>
        <w:pStyle w:val="ListParagraph"/>
        <w:rPr>
          <w:rFonts w:cstheme="minorHAnsi"/>
        </w:rPr>
      </w:pPr>
      <w:proofErr w:type="spellStart"/>
      <w:r w:rsidRPr="001B3454">
        <w:rPr>
          <w:rFonts w:cstheme="minorHAnsi"/>
        </w:rPr>
        <w:t>Indico</w:t>
      </w:r>
      <w:proofErr w:type="spellEnd"/>
      <w:r w:rsidRPr="001B3454">
        <w:rPr>
          <w:rFonts w:cstheme="minorHAnsi"/>
        </w:rPr>
        <w:t xml:space="preserve"> FAQ</w:t>
      </w:r>
      <w:r w:rsidR="000658B7">
        <w:rPr>
          <w:rFonts w:cstheme="minorHAnsi"/>
        </w:rPr>
        <w:t>s</w:t>
      </w:r>
      <w:r w:rsidRPr="001B3454">
        <w:rPr>
          <w:rFonts w:cstheme="minorHAnsi"/>
        </w:rPr>
        <w:t xml:space="preserve"> are </w:t>
      </w:r>
      <w:hyperlink r:id="rId12" w:history="1">
        <w:r w:rsidRPr="001B3454">
          <w:rPr>
            <w:rStyle w:val="Hyperlink"/>
            <w:rFonts w:cstheme="minorHAnsi"/>
          </w:rPr>
          <w:t>here</w:t>
        </w:r>
      </w:hyperlink>
      <w:r w:rsidRPr="001B3454">
        <w:rPr>
          <w:rFonts w:cstheme="minorHAnsi"/>
        </w:rPr>
        <w:t>.</w:t>
      </w:r>
    </w:p>
    <w:p w14:paraId="1540F42B" w14:textId="77777777" w:rsidR="00D52D9A" w:rsidRPr="001B3454" w:rsidRDefault="00D52D9A" w:rsidP="00C9327C">
      <w:pPr>
        <w:pStyle w:val="ListParagraph"/>
        <w:rPr>
          <w:rFonts w:cstheme="minorHAnsi"/>
        </w:rPr>
      </w:pPr>
    </w:p>
    <w:p w14:paraId="265137A9" w14:textId="63EE97CE" w:rsidR="00D52D9A" w:rsidRPr="001B3454" w:rsidRDefault="00D52D9A" w:rsidP="00D52D9A">
      <w:pPr>
        <w:pStyle w:val="ListParagraph"/>
        <w:rPr>
          <w:rFonts w:cstheme="minorHAnsi"/>
        </w:rPr>
      </w:pPr>
      <w:r w:rsidRPr="001B3454">
        <w:rPr>
          <w:rFonts w:cstheme="minorHAnsi"/>
        </w:rPr>
        <w:t>Please see the</w:t>
      </w:r>
      <w:r w:rsidR="00C9327C" w:rsidRPr="001B3454">
        <w:rPr>
          <w:rFonts w:cstheme="minorHAnsi"/>
        </w:rPr>
        <w:t xml:space="preserve"> guide on how to designate Conference Focal Points</w:t>
      </w:r>
      <w:r w:rsidRPr="001B3454">
        <w:rPr>
          <w:rFonts w:cstheme="minorHAnsi"/>
        </w:rPr>
        <w:t xml:space="preserve"> </w:t>
      </w:r>
      <w:hyperlink r:id="rId13" w:history="1">
        <w:r w:rsidRPr="001B3454">
          <w:rPr>
            <w:rStyle w:val="Hyperlink"/>
            <w:rFonts w:cstheme="minorHAnsi"/>
          </w:rPr>
          <w:t>here</w:t>
        </w:r>
      </w:hyperlink>
      <w:r w:rsidR="00C9327C" w:rsidRPr="001B3454">
        <w:rPr>
          <w:rFonts w:cstheme="minorHAnsi"/>
        </w:rPr>
        <w:t>.</w:t>
      </w:r>
    </w:p>
    <w:p w14:paraId="271916D0" w14:textId="77777777" w:rsidR="00722E7D" w:rsidRPr="001B3454" w:rsidRDefault="00722E7D" w:rsidP="00D52D9A">
      <w:pPr>
        <w:pStyle w:val="ListParagraph"/>
        <w:rPr>
          <w:rFonts w:cstheme="minorHAnsi"/>
        </w:rPr>
      </w:pPr>
    </w:p>
    <w:p w14:paraId="1E655D2B" w14:textId="62B3196A" w:rsidR="00722E7D" w:rsidRPr="00222C5D" w:rsidRDefault="00722E7D" w:rsidP="00222C5D">
      <w:pPr>
        <w:pStyle w:val="ListParagraph"/>
        <w:numPr>
          <w:ilvl w:val="0"/>
          <w:numId w:val="2"/>
        </w:numPr>
        <w:rPr>
          <w:rFonts w:cstheme="minorHAnsi"/>
        </w:rPr>
      </w:pPr>
      <w:r w:rsidRPr="001B3454">
        <w:rPr>
          <w:rFonts w:cstheme="minorHAnsi"/>
        </w:rPr>
        <w:t xml:space="preserve">Register by filling in the form at </w:t>
      </w:r>
      <w:hyperlink r:id="rId14" w:history="1">
        <w:r w:rsidR="00222C5D" w:rsidRPr="00BD7EC1">
          <w:rPr>
            <w:rStyle w:val="Hyperlink"/>
          </w:rPr>
          <w:t>https://bit.ly/2AAErBT</w:t>
        </w:r>
      </w:hyperlink>
      <w:r w:rsidRPr="00222C5D">
        <w:rPr>
          <w:rFonts w:cstheme="minorHAnsi"/>
        </w:rPr>
        <w:t xml:space="preserve"> </w:t>
      </w:r>
      <w:r w:rsidR="00201304" w:rsidRPr="00222C5D">
        <w:rPr>
          <w:rFonts w:cstheme="minorHAnsi"/>
        </w:rPr>
        <w:t xml:space="preserve">by </w:t>
      </w:r>
      <w:r w:rsidR="00222C5D" w:rsidRPr="00222C5D">
        <w:rPr>
          <w:rFonts w:cstheme="minorHAnsi"/>
        </w:rPr>
        <w:t xml:space="preserve">28 </w:t>
      </w:r>
      <w:r w:rsidR="00201304" w:rsidRPr="00222C5D">
        <w:rPr>
          <w:rFonts w:cstheme="minorHAnsi"/>
        </w:rPr>
        <w:t>August</w:t>
      </w:r>
      <w:r w:rsidR="00222C5D" w:rsidRPr="00222C5D">
        <w:rPr>
          <w:rFonts w:cstheme="minorHAnsi"/>
        </w:rPr>
        <w:t xml:space="preserve"> 2018.</w:t>
      </w:r>
      <w:r w:rsidRPr="00222C5D">
        <w:rPr>
          <w:rFonts w:cstheme="minorHAnsi"/>
        </w:rPr>
        <w:t xml:space="preserve"> </w:t>
      </w:r>
    </w:p>
    <w:p w14:paraId="0F35F80D" w14:textId="77777777" w:rsidR="00E96B83" w:rsidRDefault="00E96B83" w:rsidP="00E96B83">
      <w:pPr>
        <w:pStyle w:val="ListParagraph"/>
        <w:ind w:left="1710"/>
        <w:rPr>
          <w:rFonts w:cstheme="minorHAnsi"/>
          <w:b/>
          <w:sz w:val="26"/>
          <w:szCs w:val="26"/>
        </w:rPr>
      </w:pPr>
    </w:p>
    <w:p w14:paraId="5213D889" w14:textId="43168BA7" w:rsidR="00C9327C" w:rsidRPr="004A4476" w:rsidRDefault="009B3229" w:rsidP="003C28FD">
      <w:pPr>
        <w:pStyle w:val="ListParagraph"/>
        <w:numPr>
          <w:ilvl w:val="2"/>
          <w:numId w:val="25"/>
        </w:numPr>
        <w:ind w:left="1350" w:hanging="990"/>
        <w:rPr>
          <w:rFonts w:cstheme="minorHAnsi"/>
          <w:b/>
          <w:sz w:val="26"/>
          <w:szCs w:val="26"/>
        </w:rPr>
      </w:pPr>
      <w:r w:rsidRPr="00E96B83">
        <w:rPr>
          <w:rFonts w:cstheme="minorHAnsi"/>
          <w:b/>
          <w:sz w:val="26"/>
          <w:szCs w:val="26"/>
        </w:rPr>
        <w:t xml:space="preserve">How can I get funding to attend the </w:t>
      </w:r>
      <w:r w:rsidR="00A06502" w:rsidRPr="004A4476">
        <w:rPr>
          <w:rFonts w:cstheme="minorHAnsi"/>
          <w:b/>
          <w:noProof/>
          <w:sz w:val="26"/>
          <w:szCs w:val="26"/>
        </w:rPr>
        <w:t>Organizational session of the Ad hoc open-ended working group</w:t>
      </w:r>
      <w:r w:rsidRPr="004A4476">
        <w:rPr>
          <w:rFonts w:cstheme="minorHAnsi"/>
          <w:b/>
          <w:sz w:val="26"/>
          <w:szCs w:val="26"/>
        </w:rPr>
        <w:t>?</w:t>
      </w:r>
    </w:p>
    <w:p w14:paraId="66D88135" w14:textId="303873D1" w:rsidR="005023B5" w:rsidRPr="003C28FD" w:rsidRDefault="005023B5" w:rsidP="005023B5">
      <w:pPr>
        <w:ind w:left="630"/>
        <w:rPr>
          <w:rFonts w:cstheme="minorHAnsi"/>
        </w:rPr>
      </w:pPr>
      <w:r w:rsidRPr="003C28FD">
        <w:rPr>
          <w:rFonts w:cstheme="minorHAnsi"/>
        </w:rPr>
        <w:t xml:space="preserve">There is currently no funding available for NGO participation at the organizational session.  </w:t>
      </w:r>
    </w:p>
    <w:p w14:paraId="6B81130B" w14:textId="1CE76308" w:rsidR="00C96B59" w:rsidRPr="009501A5" w:rsidRDefault="005023B5" w:rsidP="00E96B83">
      <w:pPr>
        <w:ind w:firstLine="630"/>
        <w:jc w:val="center"/>
        <w:rPr>
          <w:rFonts w:cstheme="minorHAnsi"/>
        </w:rPr>
      </w:pPr>
      <w:r>
        <w:rPr>
          <w:rFonts w:cstheme="minorHAnsi"/>
          <w:b/>
          <w:sz w:val="26"/>
          <w:szCs w:val="26"/>
        </w:rPr>
        <w:t>____________________________</w:t>
      </w:r>
    </w:p>
    <w:p w14:paraId="03C565B4" w14:textId="3AD86CAD" w:rsidR="0081038C" w:rsidRPr="009501A5" w:rsidRDefault="0081038C" w:rsidP="0081038C">
      <w:pPr>
        <w:ind w:left="720"/>
        <w:rPr>
          <w:rFonts w:cstheme="minorHAnsi"/>
          <w:b/>
        </w:rPr>
      </w:pPr>
    </w:p>
    <w:sectPr w:rsidR="0081038C" w:rsidRPr="009501A5" w:rsidSect="009B322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648F" w14:textId="77777777" w:rsidR="002D66BC" w:rsidRDefault="002D66BC" w:rsidP="00C96B59">
      <w:pPr>
        <w:spacing w:after="0" w:line="240" w:lineRule="auto"/>
      </w:pPr>
      <w:r>
        <w:separator/>
      </w:r>
    </w:p>
  </w:endnote>
  <w:endnote w:type="continuationSeparator" w:id="0">
    <w:p w14:paraId="122099F7" w14:textId="77777777" w:rsidR="002D66BC" w:rsidRDefault="002D66BC" w:rsidP="00C9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1454"/>
      <w:docPartObj>
        <w:docPartGallery w:val="Page Numbers (Bottom of Page)"/>
        <w:docPartUnique/>
      </w:docPartObj>
    </w:sdtPr>
    <w:sdtEndPr>
      <w:rPr>
        <w:noProof/>
      </w:rPr>
    </w:sdtEndPr>
    <w:sdtContent>
      <w:p w14:paraId="12877100" w14:textId="490108CF" w:rsidR="00C96B59" w:rsidRDefault="00C96B59">
        <w:pPr>
          <w:pStyle w:val="Footer"/>
          <w:jc w:val="right"/>
        </w:pPr>
        <w:r>
          <w:fldChar w:fldCharType="begin"/>
        </w:r>
        <w:r>
          <w:instrText xml:space="preserve"> PAGE   \* MERGEFORMAT </w:instrText>
        </w:r>
        <w:r>
          <w:fldChar w:fldCharType="separate"/>
        </w:r>
        <w:r w:rsidR="00D452F5">
          <w:rPr>
            <w:noProof/>
          </w:rPr>
          <w:t>4</w:t>
        </w:r>
        <w:r>
          <w:rPr>
            <w:noProof/>
          </w:rPr>
          <w:fldChar w:fldCharType="end"/>
        </w:r>
      </w:p>
    </w:sdtContent>
  </w:sdt>
  <w:p w14:paraId="7145BC05" w14:textId="77777777" w:rsidR="00C96B59" w:rsidRDefault="00C9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9224" w14:textId="77777777" w:rsidR="002D66BC" w:rsidRDefault="002D66BC" w:rsidP="00C96B59">
      <w:pPr>
        <w:spacing w:after="0" w:line="240" w:lineRule="auto"/>
      </w:pPr>
      <w:r>
        <w:separator/>
      </w:r>
    </w:p>
  </w:footnote>
  <w:footnote w:type="continuationSeparator" w:id="0">
    <w:p w14:paraId="77E40147" w14:textId="77777777" w:rsidR="002D66BC" w:rsidRDefault="002D66BC" w:rsidP="00C96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699"/>
    <w:multiLevelType w:val="hybridMultilevel"/>
    <w:tmpl w:val="D886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06F6"/>
    <w:multiLevelType w:val="multilevel"/>
    <w:tmpl w:val="6BA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84CAB"/>
    <w:multiLevelType w:val="multilevel"/>
    <w:tmpl w:val="EAF8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A790D"/>
    <w:multiLevelType w:val="hybridMultilevel"/>
    <w:tmpl w:val="9EA6DAF2"/>
    <w:lvl w:ilvl="0" w:tplc="82348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31FB7"/>
    <w:multiLevelType w:val="multilevel"/>
    <w:tmpl w:val="E26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23FF5"/>
    <w:multiLevelType w:val="hybridMultilevel"/>
    <w:tmpl w:val="CF382AD2"/>
    <w:lvl w:ilvl="0" w:tplc="85360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42365"/>
    <w:multiLevelType w:val="hybridMultilevel"/>
    <w:tmpl w:val="D646B3DC"/>
    <w:lvl w:ilvl="0" w:tplc="0409000F">
      <w:start w:val="1"/>
      <w:numFmt w:val="decimal"/>
      <w:lvlText w:val="%1."/>
      <w:lvlJc w:val="left"/>
      <w:pPr>
        <w:ind w:left="720" w:hanging="360"/>
      </w:pPr>
      <w:rPr>
        <w:rFonts w:hint="default"/>
      </w:rPr>
    </w:lvl>
    <w:lvl w:ilvl="1" w:tplc="EBA60510">
      <w:start w:val="1"/>
      <w:numFmt w:val="decimal"/>
      <w:lvlText w:val="%2)"/>
      <w:lvlJc w:val="left"/>
      <w:pPr>
        <w:ind w:left="1440" w:hanging="360"/>
      </w:pPr>
      <w:rPr>
        <w:rFonts w:hint="default"/>
      </w:rPr>
    </w:lvl>
    <w:lvl w:ilvl="2" w:tplc="6B7E2BA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C0A42"/>
    <w:multiLevelType w:val="hybridMultilevel"/>
    <w:tmpl w:val="85327416"/>
    <w:lvl w:ilvl="0" w:tplc="75C47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747ED"/>
    <w:multiLevelType w:val="multilevel"/>
    <w:tmpl w:val="136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76491"/>
    <w:multiLevelType w:val="hybridMultilevel"/>
    <w:tmpl w:val="A288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150F6"/>
    <w:multiLevelType w:val="hybridMultilevel"/>
    <w:tmpl w:val="5594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D63CE"/>
    <w:multiLevelType w:val="hybridMultilevel"/>
    <w:tmpl w:val="0296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E636A"/>
    <w:multiLevelType w:val="hybridMultilevel"/>
    <w:tmpl w:val="F18873BE"/>
    <w:lvl w:ilvl="0" w:tplc="468CC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825072"/>
    <w:multiLevelType w:val="hybridMultilevel"/>
    <w:tmpl w:val="73423C4E"/>
    <w:lvl w:ilvl="0" w:tplc="FB78AF24">
      <w:start w:val="1"/>
      <w:numFmt w:val="low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5A7ADA"/>
    <w:multiLevelType w:val="multilevel"/>
    <w:tmpl w:val="AEDE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25A17"/>
    <w:multiLevelType w:val="multilevel"/>
    <w:tmpl w:val="E910C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06994"/>
    <w:multiLevelType w:val="multilevel"/>
    <w:tmpl w:val="2BD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F267D"/>
    <w:multiLevelType w:val="multilevel"/>
    <w:tmpl w:val="7698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D01F7"/>
    <w:multiLevelType w:val="multilevel"/>
    <w:tmpl w:val="1BB6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C7A32"/>
    <w:multiLevelType w:val="hybridMultilevel"/>
    <w:tmpl w:val="63A8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E3272"/>
    <w:multiLevelType w:val="hybridMultilevel"/>
    <w:tmpl w:val="9F5C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5671D"/>
    <w:multiLevelType w:val="multilevel"/>
    <w:tmpl w:val="3B88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F509B"/>
    <w:multiLevelType w:val="hybridMultilevel"/>
    <w:tmpl w:val="6928B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F4F09C">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F3933"/>
    <w:multiLevelType w:val="hybridMultilevel"/>
    <w:tmpl w:val="116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77AF"/>
    <w:multiLevelType w:val="hybridMultilevel"/>
    <w:tmpl w:val="8D4E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50061"/>
    <w:multiLevelType w:val="hybridMultilevel"/>
    <w:tmpl w:val="81C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F2E99"/>
    <w:multiLevelType w:val="multilevel"/>
    <w:tmpl w:val="A992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3"/>
  </w:num>
  <w:num w:numId="4">
    <w:abstractNumId w:val="0"/>
  </w:num>
  <w:num w:numId="5">
    <w:abstractNumId w:val="19"/>
  </w:num>
  <w:num w:numId="6">
    <w:abstractNumId w:val="12"/>
  </w:num>
  <w:num w:numId="7">
    <w:abstractNumId w:val="1"/>
  </w:num>
  <w:num w:numId="8">
    <w:abstractNumId w:val="16"/>
  </w:num>
  <w:num w:numId="9">
    <w:abstractNumId w:val="8"/>
  </w:num>
  <w:num w:numId="10">
    <w:abstractNumId w:val="2"/>
  </w:num>
  <w:num w:numId="11">
    <w:abstractNumId w:val="26"/>
  </w:num>
  <w:num w:numId="12">
    <w:abstractNumId w:val="4"/>
  </w:num>
  <w:num w:numId="13">
    <w:abstractNumId w:val="17"/>
  </w:num>
  <w:num w:numId="14">
    <w:abstractNumId w:val="15"/>
  </w:num>
  <w:num w:numId="15">
    <w:abstractNumId w:val="15"/>
    <w:lvlOverride w:ilvl="1">
      <w:lvl w:ilvl="1">
        <w:numFmt w:val="bullet"/>
        <w:lvlText w:val=""/>
        <w:lvlJc w:val="left"/>
        <w:pPr>
          <w:tabs>
            <w:tab w:val="num" w:pos="1440"/>
          </w:tabs>
          <w:ind w:left="1440" w:hanging="360"/>
        </w:pPr>
        <w:rPr>
          <w:rFonts w:ascii="Symbol" w:hAnsi="Symbol" w:hint="default"/>
          <w:sz w:val="20"/>
        </w:rPr>
      </w:lvl>
    </w:lvlOverride>
  </w:num>
  <w:num w:numId="16">
    <w:abstractNumId w:val="21"/>
  </w:num>
  <w:num w:numId="17">
    <w:abstractNumId w:val="18"/>
  </w:num>
  <w:num w:numId="18">
    <w:abstractNumId w:val="14"/>
  </w:num>
  <w:num w:numId="19">
    <w:abstractNumId w:val="5"/>
  </w:num>
  <w:num w:numId="20">
    <w:abstractNumId w:val="10"/>
  </w:num>
  <w:num w:numId="21">
    <w:abstractNumId w:val="23"/>
  </w:num>
  <w:num w:numId="22">
    <w:abstractNumId w:val="9"/>
  </w:num>
  <w:num w:numId="23">
    <w:abstractNumId w:val="25"/>
  </w:num>
  <w:num w:numId="24">
    <w:abstractNumId w:val="24"/>
  </w:num>
  <w:num w:numId="25">
    <w:abstractNumId w:val="22"/>
  </w:num>
  <w:num w:numId="26">
    <w:abstractNumId w:val="13"/>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29"/>
    <w:rsid w:val="000128AC"/>
    <w:rsid w:val="00015CED"/>
    <w:rsid w:val="000658B7"/>
    <w:rsid w:val="00066E33"/>
    <w:rsid w:val="00093160"/>
    <w:rsid w:val="000D0B42"/>
    <w:rsid w:val="000D739C"/>
    <w:rsid w:val="00135AF4"/>
    <w:rsid w:val="00137E82"/>
    <w:rsid w:val="0017284D"/>
    <w:rsid w:val="00190DC6"/>
    <w:rsid w:val="001A1217"/>
    <w:rsid w:val="001B3454"/>
    <w:rsid w:val="00201304"/>
    <w:rsid w:val="00203352"/>
    <w:rsid w:val="00215A32"/>
    <w:rsid w:val="00222C5D"/>
    <w:rsid w:val="002328BF"/>
    <w:rsid w:val="00293153"/>
    <w:rsid w:val="002C276F"/>
    <w:rsid w:val="002C717A"/>
    <w:rsid w:val="002D66BC"/>
    <w:rsid w:val="002E4664"/>
    <w:rsid w:val="0036499E"/>
    <w:rsid w:val="003658F8"/>
    <w:rsid w:val="003B0B6D"/>
    <w:rsid w:val="003C28FD"/>
    <w:rsid w:val="00417DA7"/>
    <w:rsid w:val="0045320A"/>
    <w:rsid w:val="004621CA"/>
    <w:rsid w:val="004676A0"/>
    <w:rsid w:val="00477836"/>
    <w:rsid w:val="004A4476"/>
    <w:rsid w:val="004A7BF9"/>
    <w:rsid w:val="004B0373"/>
    <w:rsid w:val="004F20B2"/>
    <w:rsid w:val="005023B5"/>
    <w:rsid w:val="00514E77"/>
    <w:rsid w:val="00522421"/>
    <w:rsid w:val="005547BE"/>
    <w:rsid w:val="005D29F3"/>
    <w:rsid w:val="006F624D"/>
    <w:rsid w:val="00703FFE"/>
    <w:rsid w:val="00722E7D"/>
    <w:rsid w:val="00747694"/>
    <w:rsid w:val="007C7D43"/>
    <w:rsid w:val="00802637"/>
    <w:rsid w:val="0081038C"/>
    <w:rsid w:val="00872565"/>
    <w:rsid w:val="0087562B"/>
    <w:rsid w:val="008E5569"/>
    <w:rsid w:val="00905BB6"/>
    <w:rsid w:val="00917712"/>
    <w:rsid w:val="00933E1E"/>
    <w:rsid w:val="00935C18"/>
    <w:rsid w:val="00943909"/>
    <w:rsid w:val="009501A5"/>
    <w:rsid w:val="009B3229"/>
    <w:rsid w:val="00A06502"/>
    <w:rsid w:val="00A14021"/>
    <w:rsid w:val="00AE1899"/>
    <w:rsid w:val="00B038CD"/>
    <w:rsid w:val="00B13899"/>
    <w:rsid w:val="00B4798D"/>
    <w:rsid w:val="00B93239"/>
    <w:rsid w:val="00C364B1"/>
    <w:rsid w:val="00C55364"/>
    <w:rsid w:val="00C60E99"/>
    <w:rsid w:val="00C830BA"/>
    <w:rsid w:val="00C9327C"/>
    <w:rsid w:val="00C96B59"/>
    <w:rsid w:val="00CF0A18"/>
    <w:rsid w:val="00D452F5"/>
    <w:rsid w:val="00D52D9A"/>
    <w:rsid w:val="00D66162"/>
    <w:rsid w:val="00DE0787"/>
    <w:rsid w:val="00DF2BFE"/>
    <w:rsid w:val="00E35C2E"/>
    <w:rsid w:val="00E723F9"/>
    <w:rsid w:val="00E828E0"/>
    <w:rsid w:val="00E859E8"/>
    <w:rsid w:val="00E96B83"/>
    <w:rsid w:val="00ED293E"/>
    <w:rsid w:val="00FC05AE"/>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49964"/>
  <w15:chartTrackingRefBased/>
  <w15:docId w15:val="{70A967A2-B7C5-4F23-B39A-89D0893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29"/>
    <w:pPr>
      <w:ind w:left="720"/>
      <w:contextualSpacing/>
    </w:pPr>
  </w:style>
  <w:style w:type="character" w:styleId="Hyperlink">
    <w:name w:val="Hyperlink"/>
    <w:basedOn w:val="DefaultParagraphFont"/>
    <w:uiPriority w:val="99"/>
    <w:unhideWhenUsed/>
    <w:rsid w:val="00B4798D"/>
    <w:rPr>
      <w:color w:val="0563C1" w:themeColor="hyperlink"/>
      <w:u w:val="single"/>
    </w:rPr>
  </w:style>
  <w:style w:type="character" w:styleId="UnresolvedMention">
    <w:name w:val="Unresolved Mention"/>
    <w:basedOn w:val="DefaultParagraphFont"/>
    <w:uiPriority w:val="99"/>
    <w:semiHidden/>
    <w:unhideWhenUsed/>
    <w:rsid w:val="00B4798D"/>
    <w:rPr>
      <w:color w:val="808080"/>
      <w:shd w:val="clear" w:color="auto" w:fill="E6E6E6"/>
    </w:rPr>
  </w:style>
  <w:style w:type="character" w:customStyle="1" w:styleId="aqj">
    <w:name w:val="aqj"/>
    <w:basedOn w:val="DefaultParagraphFont"/>
    <w:rsid w:val="00C9327C"/>
  </w:style>
  <w:style w:type="character" w:styleId="Strong">
    <w:name w:val="Strong"/>
    <w:basedOn w:val="DefaultParagraphFont"/>
    <w:uiPriority w:val="22"/>
    <w:qFormat/>
    <w:rsid w:val="00722E7D"/>
    <w:rPr>
      <w:b/>
      <w:bCs/>
    </w:rPr>
  </w:style>
  <w:style w:type="character" w:styleId="FollowedHyperlink">
    <w:name w:val="FollowedHyperlink"/>
    <w:basedOn w:val="DefaultParagraphFont"/>
    <w:uiPriority w:val="99"/>
    <w:semiHidden/>
    <w:unhideWhenUsed/>
    <w:rsid w:val="008E5569"/>
    <w:rPr>
      <w:color w:val="954F72" w:themeColor="followedHyperlink"/>
      <w:u w:val="single"/>
    </w:rPr>
  </w:style>
  <w:style w:type="paragraph" w:styleId="NormalWeb">
    <w:name w:val="Normal (Web)"/>
    <w:basedOn w:val="Normal"/>
    <w:uiPriority w:val="99"/>
    <w:semiHidden/>
    <w:unhideWhenUsed/>
    <w:rsid w:val="001728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6162"/>
    <w:pPr>
      <w:spacing w:after="0" w:line="240" w:lineRule="auto"/>
    </w:pPr>
  </w:style>
  <w:style w:type="paragraph" w:styleId="Header">
    <w:name w:val="header"/>
    <w:basedOn w:val="Normal"/>
    <w:link w:val="HeaderChar"/>
    <w:uiPriority w:val="99"/>
    <w:unhideWhenUsed/>
    <w:rsid w:val="00C9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B59"/>
  </w:style>
  <w:style w:type="paragraph" w:styleId="Footer">
    <w:name w:val="footer"/>
    <w:basedOn w:val="Normal"/>
    <w:link w:val="FooterChar"/>
    <w:uiPriority w:val="99"/>
    <w:unhideWhenUsed/>
    <w:rsid w:val="00C9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59"/>
  </w:style>
  <w:style w:type="character" w:styleId="CommentReference">
    <w:name w:val="annotation reference"/>
    <w:basedOn w:val="DefaultParagraphFont"/>
    <w:uiPriority w:val="99"/>
    <w:semiHidden/>
    <w:unhideWhenUsed/>
    <w:rsid w:val="00201304"/>
    <w:rPr>
      <w:sz w:val="16"/>
      <w:szCs w:val="16"/>
    </w:rPr>
  </w:style>
  <w:style w:type="paragraph" w:styleId="CommentText">
    <w:name w:val="annotation text"/>
    <w:basedOn w:val="Normal"/>
    <w:link w:val="CommentTextChar"/>
    <w:uiPriority w:val="99"/>
    <w:semiHidden/>
    <w:unhideWhenUsed/>
    <w:rsid w:val="00201304"/>
    <w:pPr>
      <w:spacing w:line="240" w:lineRule="auto"/>
    </w:pPr>
    <w:rPr>
      <w:sz w:val="20"/>
      <w:szCs w:val="20"/>
    </w:rPr>
  </w:style>
  <w:style w:type="character" w:customStyle="1" w:styleId="CommentTextChar">
    <w:name w:val="Comment Text Char"/>
    <w:basedOn w:val="DefaultParagraphFont"/>
    <w:link w:val="CommentText"/>
    <w:uiPriority w:val="99"/>
    <w:semiHidden/>
    <w:rsid w:val="00201304"/>
    <w:rPr>
      <w:sz w:val="20"/>
      <w:szCs w:val="20"/>
    </w:rPr>
  </w:style>
  <w:style w:type="paragraph" w:styleId="CommentSubject">
    <w:name w:val="annotation subject"/>
    <w:basedOn w:val="CommentText"/>
    <w:next w:val="CommentText"/>
    <w:link w:val="CommentSubjectChar"/>
    <w:uiPriority w:val="99"/>
    <w:semiHidden/>
    <w:unhideWhenUsed/>
    <w:rsid w:val="00201304"/>
    <w:rPr>
      <w:b/>
      <w:bCs/>
    </w:rPr>
  </w:style>
  <w:style w:type="character" w:customStyle="1" w:styleId="CommentSubjectChar">
    <w:name w:val="Comment Subject Char"/>
    <w:basedOn w:val="CommentTextChar"/>
    <w:link w:val="CommentSubject"/>
    <w:uiPriority w:val="99"/>
    <w:semiHidden/>
    <w:rsid w:val="00201304"/>
    <w:rPr>
      <w:b/>
      <w:bCs/>
      <w:sz w:val="20"/>
      <w:szCs w:val="20"/>
    </w:rPr>
  </w:style>
  <w:style w:type="paragraph" w:styleId="BalloonText">
    <w:name w:val="Balloon Text"/>
    <w:basedOn w:val="Normal"/>
    <w:link w:val="BalloonTextChar"/>
    <w:uiPriority w:val="99"/>
    <w:semiHidden/>
    <w:unhideWhenUsed/>
    <w:rsid w:val="0020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7101">
      <w:bodyDiv w:val="1"/>
      <w:marLeft w:val="0"/>
      <w:marRight w:val="0"/>
      <w:marTop w:val="0"/>
      <w:marBottom w:val="0"/>
      <w:divBdr>
        <w:top w:val="none" w:sz="0" w:space="0" w:color="auto"/>
        <w:left w:val="none" w:sz="0" w:space="0" w:color="auto"/>
        <w:bottom w:val="none" w:sz="0" w:space="0" w:color="auto"/>
        <w:right w:val="none" w:sz="0" w:space="0" w:color="auto"/>
      </w:divBdr>
    </w:div>
    <w:div w:id="241456113">
      <w:bodyDiv w:val="1"/>
      <w:marLeft w:val="0"/>
      <w:marRight w:val="0"/>
      <w:marTop w:val="0"/>
      <w:marBottom w:val="0"/>
      <w:divBdr>
        <w:top w:val="none" w:sz="0" w:space="0" w:color="auto"/>
        <w:left w:val="none" w:sz="0" w:space="0" w:color="auto"/>
        <w:bottom w:val="none" w:sz="0" w:space="0" w:color="auto"/>
        <w:right w:val="none" w:sz="0" w:space="0" w:color="auto"/>
      </w:divBdr>
      <w:divsChild>
        <w:div w:id="1519660612">
          <w:marLeft w:val="-108"/>
          <w:marRight w:val="0"/>
          <w:marTop w:val="0"/>
          <w:marBottom w:val="0"/>
          <w:divBdr>
            <w:top w:val="none" w:sz="0" w:space="0" w:color="auto"/>
            <w:left w:val="none" w:sz="0" w:space="0" w:color="auto"/>
            <w:bottom w:val="none" w:sz="0" w:space="0" w:color="auto"/>
            <w:right w:val="none" w:sz="0" w:space="0" w:color="auto"/>
          </w:divBdr>
        </w:div>
      </w:divsChild>
    </w:div>
    <w:div w:id="531697436">
      <w:bodyDiv w:val="1"/>
      <w:marLeft w:val="0"/>
      <w:marRight w:val="0"/>
      <w:marTop w:val="0"/>
      <w:marBottom w:val="0"/>
      <w:divBdr>
        <w:top w:val="none" w:sz="0" w:space="0" w:color="auto"/>
        <w:left w:val="none" w:sz="0" w:space="0" w:color="auto"/>
        <w:bottom w:val="none" w:sz="0" w:space="0" w:color="auto"/>
        <w:right w:val="none" w:sz="0" w:space="0" w:color="auto"/>
      </w:divBdr>
    </w:div>
    <w:div w:id="639001887">
      <w:bodyDiv w:val="1"/>
      <w:marLeft w:val="0"/>
      <w:marRight w:val="0"/>
      <w:marTop w:val="0"/>
      <w:marBottom w:val="0"/>
      <w:divBdr>
        <w:top w:val="none" w:sz="0" w:space="0" w:color="auto"/>
        <w:left w:val="none" w:sz="0" w:space="0" w:color="auto"/>
        <w:bottom w:val="none" w:sz="0" w:space="0" w:color="auto"/>
        <w:right w:val="none" w:sz="0" w:space="0" w:color="auto"/>
      </w:divBdr>
    </w:div>
    <w:div w:id="1066805910">
      <w:bodyDiv w:val="1"/>
      <w:marLeft w:val="0"/>
      <w:marRight w:val="0"/>
      <w:marTop w:val="0"/>
      <w:marBottom w:val="0"/>
      <w:divBdr>
        <w:top w:val="none" w:sz="0" w:space="0" w:color="auto"/>
        <w:left w:val="none" w:sz="0" w:space="0" w:color="auto"/>
        <w:bottom w:val="none" w:sz="0" w:space="0" w:color="auto"/>
        <w:right w:val="none" w:sz="0" w:space="0" w:color="auto"/>
      </w:divBdr>
    </w:div>
    <w:div w:id="1123620396">
      <w:bodyDiv w:val="1"/>
      <w:marLeft w:val="0"/>
      <w:marRight w:val="0"/>
      <w:marTop w:val="0"/>
      <w:marBottom w:val="0"/>
      <w:divBdr>
        <w:top w:val="none" w:sz="0" w:space="0" w:color="auto"/>
        <w:left w:val="none" w:sz="0" w:space="0" w:color="auto"/>
        <w:bottom w:val="none" w:sz="0" w:space="0" w:color="auto"/>
        <w:right w:val="none" w:sz="0" w:space="0" w:color="auto"/>
      </w:divBdr>
    </w:div>
    <w:div w:id="1151673467">
      <w:bodyDiv w:val="1"/>
      <w:marLeft w:val="0"/>
      <w:marRight w:val="0"/>
      <w:marTop w:val="0"/>
      <w:marBottom w:val="0"/>
      <w:divBdr>
        <w:top w:val="none" w:sz="0" w:space="0" w:color="auto"/>
        <w:left w:val="none" w:sz="0" w:space="0" w:color="auto"/>
        <w:bottom w:val="none" w:sz="0" w:space="0" w:color="auto"/>
        <w:right w:val="none" w:sz="0" w:space="0" w:color="auto"/>
      </w:divBdr>
    </w:div>
    <w:div w:id="1307934416">
      <w:bodyDiv w:val="1"/>
      <w:marLeft w:val="0"/>
      <w:marRight w:val="0"/>
      <w:marTop w:val="0"/>
      <w:marBottom w:val="0"/>
      <w:divBdr>
        <w:top w:val="none" w:sz="0" w:space="0" w:color="auto"/>
        <w:left w:val="none" w:sz="0" w:space="0" w:color="auto"/>
        <w:bottom w:val="none" w:sz="0" w:space="0" w:color="auto"/>
        <w:right w:val="none" w:sz="0" w:space="0" w:color="auto"/>
      </w:divBdr>
    </w:div>
    <w:div w:id="15156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nog.ch/" TargetMode="External"/><Relationship Id="rId13" Type="http://schemas.openxmlformats.org/officeDocument/2006/relationships/hyperlink" Target="http://bit.ly/indico-cfps-getting-star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gVk3-Ur4kGRWBLZiL-lYR0x_UMO9fJ0X/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onet.org/content/documents/Indico-Webinar-NGO-FocalPoints-15Decemb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33Do2LpNRj4" TargetMode="External"/><Relationship Id="rId4" Type="http://schemas.openxmlformats.org/officeDocument/2006/relationships/settings" Target="settings.xml"/><Relationship Id="rId9" Type="http://schemas.openxmlformats.org/officeDocument/2006/relationships/hyperlink" Target="http://csonet.org/content/documents/Indico_Quick_Guide_for_NGO_Participants.pdf" TargetMode="External"/><Relationship Id="rId14" Type="http://schemas.openxmlformats.org/officeDocument/2006/relationships/hyperlink" Target="https://bit.ly/2AAEr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F4E1-431A-494C-9506-95A2B199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Tobin</dc:creator>
  <cp:keywords/>
  <dc:description/>
  <cp:lastModifiedBy>Satwant Kaur</cp:lastModifiedBy>
  <cp:revision>6</cp:revision>
  <dcterms:created xsi:type="dcterms:W3CDTF">2018-08-03T15:16:00Z</dcterms:created>
  <dcterms:modified xsi:type="dcterms:W3CDTF">2018-08-03T21:30:00Z</dcterms:modified>
</cp:coreProperties>
</file>